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EA0" w14:textId="77777777" w:rsidR="009336A5" w:rsidRDefault="009336A5" w:rsidP="00EE372D">
      <w:pPr>
        <w:jc w:val="center"/>
        <w:rPr>
          <w:rFonts w:ascii="Arial" w:hAnsi="Arial" w:cs="Arial"/>
          <w:b/>
          <w:bCs/>
          <w:sz w:val="24"/>
          <w:szCs w:val="24"/>
        </w:rPr>
      </w:pPr>
    </w:p>
    <w:p w14:paraId="0DFC35E7" w14:textId="77777777" w:rsidR="009336A5" w:rsidRDefault="009336A5" w:rsidP="00EE372D">
      <w:pPr>
        <w:jc w:val="center"/>
        <w:rPr>
          <w:rFonts w:ascii="Arial" w:hAnsi="Arial" w:cs="Arial"/>
          <w:b/>
          <w:bCs/>
          <w:sz w:val="24"/>
          <w:szCs w:val="24"/>
        </w:rPr>
      </w:pPr>
    </w:p>
    <w:p w14:paraId="21A4D70F" w14:textId="77777777" w:rsidR="009336A5" w:rsidRDefault="009336A5" w:rsidP="00EE372D">
      <w:pPr>
        <w:jc w:val="center"/>
        <w:rPr>
          <w:rFonts w:ascii="Arial" w:hAnsi="Arial" w:cs="Arial"/>
          <w:b/>
          <w:bCs/>
          <w:sz w:val="24"/>
          <w:szCs w:val="24"/>
        </w:rPr>
      </w:pPr>
    </w:p>
    <w:p w14:paraId="3080AE70" w14:textId="77777777" w:rsidR="009336A5" w:rsidRDefault="009336A5" w:rsidP="00EE372D">
      <w:pPr>
        <w:jc w:val="center"/>
        <w:rPr>
          <w:rFonts w:ascii="Arial" w:hAnsi="Arial" w:cs="Arial"/>
          <w:b/>
          <w:bCs/>
          <w:sz w:val="24"/>
          <w:szCs w:val="24"/>
        </w:rPr>
      </w:pPr>
    </w:p>
    <w:p w14:paraId="4332FBEC" w14:textId="77777777" w:rsidR="009336A5" w:rsidRDefault="009336A5" w:rsidP="00EE372D">
      <w:pPr>
        <w:jc w:val="center"/>
        <w:rPr>
          <w:rFonts w:ascii="Arial" w:hAnsi="Arial" w:cs="Arial"/>
          <w:b/>
          <w:bCs/>
          <w:sz w:val="24"/>
          <w:szCs w:val="24"/>
        </w:rPr>
      </w:pPr>
    </w:p>
    <w:p w14:paraId="4D553C06" w14:textId="77777777" w:rsidR="009336A5" w:rsidRDefault="009336A5" w:rsidP="00EE372D">
      <w:pPr>
        <w:jc w:val="center"/>
        <w:rPr>
          <w:rFonts w:ascii="Arial" w:hAnsi="Arial" w:cs="Arial"/>
          <w:b/>
          <w:bCs/>
          <w:sz w:val="24"/>
          <w:szCs w:val="24"/>
        </w:rPr>
      </w:pPr>
    </w:p>
    <w:p w14:paraId="6503539F" w14:textId="77777777" w:rsidR="009336A5" w:rsidRDefault="009336A5" w:rsidP="00EE372D">
      <w:pPr>
        <w:jc w:val="center"/>
        <w:rPr>
          <w:rFonts w:ascii="Arial" w:hAnsi="Arial" w:cs="Arial"/>
          <w:b/>
          <w:bCs/>
          <w:sz w:val="24"/>
          <w:szCs w:val="24"/>
        </w:rPr>
      </w:pPr>
    </w:p>
    <w:p w14:paraId="1CED8841" w14:textId="77777777" w:rsidR="009336A5" w:rsidRDefault="009336A5" w:rsidP="00EE372D">
      <w:pPr>
        <w:jc w:val="center"/>
        <w:rPr>
          <w:rFonts w:ascii="Arial" w:hAnsi="Arial" w:cs="Arial"/>
          <w:b/>
          <w:bCs/>
          <w:sz w:val="24"/>
          <w:szCs w:val="24"/>
        </w:rPr>
      </w:pPr>
    </w:p>
    <w:p w14:paraId="547786EC" w14:textId="77777777" w:rsidR="009336A5" w:rsidRDefault="009336A5" w:rsidP="00EE372D">
      <w:pPr>
        <w:jc w:val="center"/>
        <w:rPr>
          <w:rFonts w:ascii="Arial" w:hAnsi="Arial" w:cs="Arial"/>
          <w:b/>
          <w:bCs/>
          <w:sz w:val="24"/>
          <w:szCs w:val="24"/>
        </w:rPr>
      </w:pPr>
    </w:p>
    <w:p w14:paraId="2D4C4D70" w14:textId="77777777" w:rsidR="009336A5" w:rsidRDefault="009336A5" w:rsidP="00EE372D">
      <w:pPr>
        <w:jc w:val="center"/>
        <w:rPr>
          <w:rFonts w:ascii="Arial" w:hAnsi="Arial" w:cs="Arial"/>
          <w:b/>
          <w:bCs/>
          <w:sz w:val="24"/>
          <w:szCs w:val="24"/>
        </w:rPr>
      </w:pPr>
    </w:p>
    <w:p w14:paraId="32706A33" w14:textId="77777777" w:rsidR="009336A5" w:rsidRDefault="009336A5" w:rsidP="00EE372D">
      <w:pPr>
        <w:jc w:val="center"/>
        <w:rPr>
          <w:rFonts w:ascii="Arial" w:hAnsi="Arial" w:cs="Arial"/>
          <w:b/>
          <w:bCs/>
          <w:sz w:val="24"/>
          <w:szCs w:val="24"/>
        </w:rPr>
      </w:pPr>
    </w:p>
    <w:p w14:paraId="2AE2A687" w14:textId="77777777" w:rsidR="009336A5" w:rsidRDefault="009336A5" w:rsidP="00EE372D">
      <w:pPr>
        <w:jc w:val="center"/>
        <w:rPr>
          <w:rFonts w:ascii="Arial" w:hAnsi="Arial" w:cs="Arial"/>
          <w:b/>
          <w:bCs/>
          <w:sz w:val="24"/>
          <w:szCs w:val="24"/>
        </w:rPr>
      </w:pPr>
    </w:p>
    <w:p w14:paraId="392ECF77" w14:textId="77777777" w:rsidR="009336A5" w:rsidRDefault="009336A5" w:rsidP="00EE372D">
      <w:pPr>
        <w:jc w:val="center"/>
        <w:rPr>
          <w:rFonts w:ascii="Arial" w:hAnsi="Arial" w:cs="Arial"/>
          <w:b/>
          <w:bCs/>
          <w:sz w:val="24"/>
          <w:szCs w:val="24"/>
        </w:rPr>
      </w:pPr>
    </w:p>
    <w:p w14:paraId="671EF117" w14:textId="77777777" w:rsidR="009336A5" w:rsidRDefault="009336A5" w:rsidP="00EE372D">
      <w:pPr>
        <w:jc w:val="center"/>
        <w:rPr>
          <w:rFonts w:ascii="Arial" w:hAnsi="Arial" w:cs="Arial"/>
          <w:b/>
          <w:bCs/>
          <w:sz w:val="24"/>
          <w:szCs w:val="24"/>
        </w:rPr>
      </w:pPr>
    </w:p>
    <w:p w14:paraId="7D5CF858" w14:textId="77777777" w:rsidR="009336A5" w:rsidRDefault="009336A5" w:rsidP="00EE372D">
      <w:pPr>
        <w:jc w:val="center"/>
        <w:rPr>
          <w:rFonts w:ascii="Arial" w:hAnsi="Arial" w:cs="Arial"/>
          <w:b/>
          <w:bCs/>
          <w:sz w:val="24"/>
          <w:szCs w:val="24"/>
        </w:rPr>
      </w:pPr>
    </w:p>
    <w:p w14:paraId="70014F67" w14:textId="77777777" w:rsidR="009336A5" w:rsidRDefault="009336A5" w:rsidP="00EE372D">
      <w:pPr>
        <w:jc w:val="center"/>
        <w:rPr>
          <w:rFonts w:ascii="Arial" w:hAnsi="Arial" w:cs="Arial"/>
          <w:b/>
          <w:bCs/>
          <w:sz w:val="24"/>
          <w:szCs w:val="24"/>
        </w:rPr>
      </w:pPr>
    </w:p>
    <w:p w14:paraId="01EBF1F3" w14:textId="77777777" w:rsidR="009336A5" w:rsidRDefault="009336A5" w:rsidP="00EE372D">
      <w:pPr>
        <w:jc w:val="center"/>
        <w:rPr>
          <w:rFonts w:ascii="Arial" w:hAnsi="Arial" w:cs="Arial"/>
          <w:b/>
          <w:bCs/>
          <w:sz w:val="24"/>
          <w:szCs w:val="24"/>
        </w:rPr>
      </w:pPr>
    </w:p>
    <w:p w14:paraId="48DE3B64" w14:textId="77777777" w:rsidR="009336A5" w:rsidRDefault="009336A5" w:rsidP="00EE372D">
      <w:pPr>
        <w:jc w:val="center"/>
        <w:rPr>
          <w:rFonts w:ascii="Arial" w:hAnsi="Arial" w:cs="Arial"/>
          <w:b/>
          <w:bCs/>
          <w:sz w:val="24"/>
          <w:szCs w:val="24"/>
        </w:rPr>
      </w:pPr>
    </w:p>
    <w:p w14:paraId="62A0788F" w14:textId="77777777" w:rsidR="009336A5" w:rsidRDefault="009336A5" w:rsidP="00EE372D">
      <w:pPr>
        <w:jc w:val="center"/>
        <w:rPr>
          <w:rFonts w:ascii="Arial" w:hAnsi="Arial" w:cs="Arial"/>
          <w:b/>
          <w:bCs/>
          <w:sz w:val="24"/>
          <w:szCs w:val="24"/>
        </w:rPr>
      </w:pPr>
    </w:p>
    <w:p w14:paraId="18D9E4D1" w14:textId="109942B3" w:rsidR="00EE372D" w:rsidRPr="002D2758" w:rsidRDefault="002D2758" w:rsidP="00EE372D">
      <w:pPr>
        <w:jc w:val="center"/>
        <w:rPr>
          <w:rFonts w:ascii="Arial" w:hAnsi="Arial" w:cs="Arial"/>
          <w:b/>
          <w:bCs/>
          <w:sz w:val="24"/>
          <w:szCs w:val="24"/>
        </w:rPr>
      </w:pPr>
      <w:r w:rsidRPr="002D2758">
        <w:rPr>
          <w:rFonts w:ascii="Arial" w:hAnsi="Arial" w:cs="Arial"/>
          <w:b/>
          <w:bCs/>
          <w:sz w:val="24"/>
          <w:szCs w:val="24"/>
        </w:rPr>
        <w:t>UNITED STATES BANKRUPTCY COURT</w:t>
      </w:r>
    </w:p>
    <w:p w14:paraId="7A2BD31B" w14:textId="77777777" w:rsidR="00EE372D" w:rsidRPr="002D2758" w:rsidRDefault="002D2758" w:rsidP="00EE372D">
      <w:pPr>
        <w:jc w:val="center"/>
        <w:rPr>
          <w:rFonts w:ascii="Arial" w:hAnsi="Arial" w:cs="Arial"/>
          <w:b/>
          <w:bCs/>
          <w:sz w:val="24"/>
          <w:szCs w:val="24"/>
        </w:rPr>
      </w:pPr>
      <w:r w:rsidRPr="002D2758">
        <w:rPr>
          <w:rFonts w:ascii="Arial" w:hAnsi="Arial" w:cs="Arial"/>
          <w:b/>
          <w:bCs/>
          <w:sz w:val="24"/>
          <w:szCs w:val="24"/>
        </w:rPr>
        <w:t>SOUTHERN DISTRICT OF FLORIDA</w:t>
      </w:r>
    </w:p>
    <w:p w14:paraId="7E4EA0F3" w14:textId="77777777" w:rsidR="00EE372D" w:rsidRPr="002D2758" w:rsidRDefault="005527C7" w:rsidP="00EE372D">
      <w:pPr>
        <w:jc w:val="center"/>
        <w:rPr>
          <w:rFonts w:ascii="Arial" w:hAnsi="Arial" w:cs="Arial"/>
          <w:color w:val="0000FF"/>
          <w:sz w:val="20"/>
          <w:szCs w:val="20"/>
        </w:rPr>
      </w:pPr>
      <w:hyperlink r:id="rId8" w:history="1">
        <w:r w:rsidR="002D2758" w:rsidRPr="002D2758">
          <w:rPr>
            <w:rStyle w:val="Hyperlink"/>
            <w:rFonts w:ascii="Arial" w:hAnsi="Arial" w:cs="Arial"/>
            <w:color w:val="0000FF"/>
            <w:sz w:val="20"/>
            <w:szCs w:val="20"/>
          </w:rPr>
          <w:t>www.flsb.uscourts.gov</w:t>
        </w:r>
      </w:hyperlink>
    </w:p>
    <w:p w14:paraId="29818B15" w14:textId="77777777" w:rsidR="002D2758" w:rsidRPr="002D2758" w:rsidRDefault="002D2758" w:rsidP="00EE372D">
      <w:pPr>
        <w:jc w:val="center"/>
        <w:rPr>
          <w:rFonts w:ascii="Arial" w:hAnsi="Arial" w:cs="Arial"/>
          <w:sz w:val="20"/>
          <w:szCs w:val="20"/>
        </w:rPr>
      </w:pPr>
    </w:p>
    <w:p w14:paraId="69C16165" w14:textId="77777777" w:rsidR="00EE372D" w:rsidRPr="002D2758" w:rsidRDefault="00EE372D" w:rsidP="00EE372D">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372D" w:rsidRPr="002D2758" w14:paraId="7F6185E7" w14:textId="77777777" w:rsidTr="00482029">
        <w:tc>
          <w:tcPr>
            <w:tcW w:w="4675" w:type="dxa"/>
          </w:tcPr>
          <w:p w14:paraId="3AC24572" w14:textId="77777777" w:rsidR="00EE372D" w:rsidRPr="002D2758" w:rsidRDefault="00EE372D" w:rsidP="00482029">
            <w:pPr>
              <w:rPr>
                <w:rFonts w:ascii="Arial" w:hAnsi="Arial" w:cs="Arial"/>
              </w:rPr>
            </w:pPr>
            <w:r w:rsidRPr="002D2758">
              <w:rPr>
                <w:rFonts w:ascii="Arial" w:hAnsi="Arial" w:cs="Arial"/>
              </w:rPr>
              <w:t>In re:</w:t>
            </w:r>
          </w:p>
          <w:p w14:paraId="49EEF384" w14:textId="77777777" w:rsidR="00EE372D" w:rsidRPr="002D2758" w:rsidRDefault="00EE372D" w:rsidP="00482029">
            <w:pPr>
              <w:rPr>
                <w:rFonts w:ascii="Arial" w:hAnsi="Arial" w:cs="Arial"/>
              </w:rPr>
            </w:pPr>
          </w:p>
          <w:p w14:paraId="6F00E545" w14:textId="77777777" w:rsidR="00EE372D" w:rsidRPr="002D2758" w:rsidRDefault="00EE372D" w:rsidP="00482029">
            <w:pPr>
              <w:rPr>
                <w:rFonts w:ascii="Arial" w:hAnsi="Arial" w:cs="Arial"/>
              </w:rPr>
            </w:pPr>
            <w:r w:rsidRPr="002D2758">
              <w:rPr>
                <w:rFonts w:ascii="Arial" w:hAnsi="Arial" w:cs="Arial"/>
              </w:rPr>
              <w:t>Name of Debtor(s)</w:t>
            </w:r>
          </w:p>
          <w:p w14:paraId="10686B80" w14:textId="77777777" w:rsidR="00EE372D" w:rsidRPr="002D2758" w:rsidRDefault="00EE372D" w:rsidP="00482029">
            <w:pPr>
              <w:rPr>
                <w:rFonts w:ascii="Arial" w:hAnsi="Arial" w:cs="Arial"/>
              </w:rPr>
            </w:pP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rPr>
              <w:t>/</w:t>
            </w:r>
          </w:p>
        </w:tc>
        <w:tc>
          <w:tcPr>
            <w:tcW w:w="4675" w:type="dxa"/>
          </w:tcPr>
          <w:p w14:paraId="10F0C27A" w14:textId="77777777" w:rsidR="00EE372D" w:rsidRPr="002D2758" w:rsidRDefault="00EE372D" w:rsidP="00482029">
            <w:pPr>
              <w:rPr>
                <w:rFonts w:ascii="Arial" w:hAnsi="Arial" w:cs="Arial"/>
              </w:rPr>
            </w:pPr>
            <w:r w:rsidRPr="002D2758">
              <w:rPr>
                <w:rFonts w:ascii="Arial" w:hAnsi="Arial" w:cs="Arial"/>
              </w:rPr>
              <w:t xml:space="preserve">Case Number: </w:t>
            </w:r>
          </w:p>
        </w:tc>
      </w:tr>
      <w:tr w:rsidR="00EE372D" w:rsidRPr="002D2758" w14:paraId="0AEE53F5" w14:textId="77777777" w:rsidTr="00482029">
        <w:tc>
          <w:tcPr>
            <w:tcW w:w="4675" w:type="dxa"/>
          </w:tcPr>
          <w:p w14:paraId="5B5AE8FA" w14:textId="77777777" w:rsidR="00EE372D" w:rsidRPr="002D2758" w:rsidRDefault="00EE372D" w:rsidP="00482029">
            <w:pPr>
              <w:rPr>
                <w:rFonts w:ascii="Arial" w:hAnsi="Arial" w:cs="Arial"/>
              </w:rPr>
            </w:pPr>
          </w:p>
          <w:p w14:paraId="49A8949D" w14:textId="77777777" w:rsidR="00EE372D" w:rsidRPr="002D2758" w:rsidRDefault="00EE372D" w:rsidP="00482029">
            <w:pPr>
              <w:rPr>
                <w:rFonts w:ascii="Arial" w:hAnsi="Arial" w:cs="Arial"/>
              </w:rPr>
            </w:pPr>
            <w:r w:rsidRPr="002D2758">
              <w:rPr>
                <w:rFonts w:ascii="Arial" w:hAnsi="Arial" w:cs="Arial"/>
              </w:rPr>
              <w:t>Plaintiff(s)</w:t>
            </w:r>
          </w:p>
          <w:p w14:paraId="635A240C" w14:textId="77777777" w:rsidR="00EE372D" w:rsidRPr="002D2758" w:rsidRDefault="00EE372D" w:rsidP="00482029">
            <w:pPr>
              <w:rPr>
                <w:rFonts w:ascii="Arial" w:hAnsi="Arial" w:cs="Arial"/>
              </w:rPr>
            </w:pPr>
          </w:p>
        </w:tc>
        <w:tc>
          <w:tcPr>
            <w:tcW w:w="4675" w:type="dxa"/>
          </w:tcPr>
          <w:p w14:paraId="1425D879" w14:textId="77777777" w:rsidR="00EE372D" w:rsidRPr="002D2758" w:rsidRDefault="00EE372D" w:rsidP="00482029">
            <w:pPr>
              <w:rPr>
                <w:rFonts w:ascii="Arial" w:hAnsi="Arial" w:cs="Arial"/>
              </w:rPr>
            </w:pPr>
            <w:r w:rsidRPr="002D2758">
              <w:rPr>
                <w:rFonts w:ascii="Arial" w:hAnsi="Arial" w:cs="Arial"/>
              </w:rPr>
              <w:t xml:space="preserve">Adversary Number: </w:t>
            </w:r>
          </w:p>
        </w:tc>
      </w:tr>
      <w:tr w:rsidR="00EE372D" w:rsidRPr="002D2758" w14:paraId="5EBFB868" w14:textId="77777777" w:rsidTr="00482029">
        <w:tc>
          <w:tcPr>
            <w:tcW w:w="4675" w:type="dxa"/>
          </w:tcPr>
          <w:p w14:paraId="741781BE" w14:textId="77777777" w:rsidR="00EE372D" w:rsidRPr="002D2758" w:rsidRDefault="00EE372D" w:rsidP="00482029">
            <w:pPr>
              <w:rPr>
                <w:rFonts w:ascii="Arial" w:hAnsi="Arial" w:cs="Arial"/>
              </w:rPr>
            </w:pPr>
            <w:r w:rsidRPr="002D2758">
              <w:rPr>
                <w:rFonts w:ascii="Arial" w:hAnsi="Arial" w:cs="Arial"/>
              </w:rPr>
              <w:t>vs.</w:t>
            </w:r>
          </w:p>
        </w:tc>
        <w:tc>
          <w:tcPr>
            <w:tcW w:w="4675" w:type="dxa"/>
          </w:tcPr>
          <w:p w14:paraId="44D94884" w14:textId="77777777" w:rsidR="00EE372D" w:rsidRPr="002D2758" w:rsidRDefault="00EE372D" w:rsidP="00482029">
            <w:pPr>
              <w:rPr>
                <w:rFonts w:ascii="Arial" w:hAnsi="Arial" w:cs="Arial"/>
              </w:rPr>
            </w:pPr>
          </w:p>
        </w:tc>
      </w:tr>
      <w:tr w:rsidR="00EE372D" w:rsidRPr="002D2758" w14:paraId="71AEA188" w14:textId="77777777" w:rsidTr="00482029">
        <w:tc>
          <w:tcPr>
            <w:tcW w:w="4675" w:type="dxa"/>
          </w:tcPr>
          <w:p w14:paraId="7C12606B" w14:textId="77777777" w:rsidR="00EE372D" w:rsidRPr="002D2758" w:rsidRDefault="00EE372D" w:rsidP="00482029">
            <w:pPr>
              <w:rPr>
                <w:rFonts w:ascii="Arial" w:hAnsi="Arial" w:cs="Arial"/>
              </w:rPr>
            </w:pPr>
          </w:p>
          <w:p w14:paraId="6809E5A0" w14:textId="77777777" w:rsidR="00EE372D" w:rsidRPr="002D2758" w:rsidRDefault="00EE372D" w:rsidP="00482029">
            <w:pPr>
              <w:rPr>
                <w:rFonts w:ascii="Arial" w:hAnsi="Arial" w:cs="Arial"/>
              </w:rPr>
            </w:pPr>
            <w:r w:rsidRPr="002D2758">
              <w:rPr>
                <w:rFonts w:ascii="Arial" w:hAnsi="Arial" w:cs="Arial"/>
              </w:rPr>
              <w:t>Defendant(s)</w:t>
            </w:r>
          </w:p>
          <w:p w14:paraId="5EBB1599" w14:textId="77777777" w:rsidR="00EE372D" w:rsidRPr="002D2758" w:rsidRDefault="00EE372D" w:rsidP="00482029">
            <w:pPr>
              <w:rPr>
                <w:rFonts w:ascii="Arial" w:hAnsi="Arial" w:cs="Arial"/>
              </w:rPr>
            </w:pP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u w:val="single"/>
              </w:rPr>
              <w:tab/>
            </w:r>
            <w:r w:rsidRPr="002D2758">
              <w:rPr>
                <w:rFonts w:ascii="Arial" w:hAnsi="Arial" w:cs="Arial"/>
              </w:rPr>
              <w:t>/</w:t>
            </w:r>
          </w:p>
        </w:tc>
        <w:tc>
          <w:tcPr>
            <w:tcW w:w="4675" w:type="dxa"/>
          </w:tcPr>
          <w:p w14:paraId="4A386CB1" w14:textId="77777777" w:rsidR="00EE372D" w:rsidRPr="002D2758" w:rsidRDefault="00EE372D" w:rsidP="00482029">
            <w:pPr>
              <w:rPr>
                <w:rFonts w:ascii="Arial" w:hAnsi="Arial" w:cs="Arial"/>
              </w:rPr>
            </w:pPr>
          </w:p>
        </w:tc>
      </w:tr>
    </w:tbl>
    <w:p w14:paraId="5377D970" w14:textId="77777777" w:rsidR="00EE372D" w:rsidRPr="002D2758" w:rsidRDefault="00EE372D" w:rsidP="00EE372D">
      <w:pPr>
        <w:rPr>
          <w:rFonts w:ascii="Arial" w:hAnsi="Arial" w:cs="Arial"/>
          <w:sz w:val="24"/>
          <w:szCs w:val="24"/>
        </w:rPr>
      </w:pPr>
    </w:p>
    <w:p w14:paraId="37DD816B" w14:textId="77777777" w:rsidR="00EE372D" w:rsidRPr="002D2758" w:rsidRDefault="00EE372D" w:rsidP="00EE372D">
      <w:pPr>
        <w:jc w:val="center"/>
        <w:rPr>
          <w:rFonts w:ascii="Arial" w:hAnsi="Arial" w:cs="Arial"/>
          <w:sz w:val="24"/>
          <w:szCs w:val="24"/>
        </w:rPr>
      </w:pPr>
      <w:r w:rsidRPr="002D2758">
        <w:rPr>
          <w:rFonts w:ascii="Arial" w:hAnsi="Arial" w:cs="Arial"/>
          <w:b/>
          <w:bCs/>
          <w:sz w:val="24"/>
          <w:szCs w:val="24"/>
        </w:rPr>
        <w:t>ORDER SETTING FILING AND DISCLOSURE REQUIREMENTS FOR PRETRIAL AND TRIAL</w:t>
      </w:r>
    </w:p>
    <w:p w14:paraId="47BAB6A5" w14:textId="77777777" w:rsidR="00EE372D" w:rsidRPr="002D2758" w:rsidRDefault="00EE372D" w:rsidP="00EE372D">
      <w:pPr>
        <w:rPr>
          <w:rFonts w:ascii="Arial" w:hAnsi="Arial" w:cs="Arial"/>
          <w:sz w:val="24"/>
          <w:szCs w:val="24"/>
        </w:rPr>
      </w:pPr>
    </w:p>
    <w:p w14:paraId="60FDAA70" w14:textId="77777777" w:rsidR="00EE372D" w:rsidRPr="002D2758" w:rsidRDefault="00EE372D" w:rsidP="00EE372D">
      <w:pPr>
        <w:jc w:val="both"/>
        <w:rPr>
          <w:rFonts w:ascii="Arial" w:hAnsi="Arial" w:cs="Arial"/>
          <w:sz w:val="24"/>
          <w:szCs w:val="24"/>
        </w:rPr>
      </w:pPr>
      <w:r w:rsidRPr="002D2758">
        <w:rPr>
          <w:rFonts w:ascii="Arial" w:hAnsi="Arial" w:cs="Arial"/>
          <w:sz w:val="24"/>
          <w:szCs w:val="24"/>
        </w:rPr>
        <w:t xml:space="preserve">To expedite and facilitate the trial of this adversary proceeding, it is </w:t>
      </w:r>
      <w:r w:rsidRPr="002D2758">
        <w:rPr>
          <w:rFonts w:ascii="Arial" w:hAnsi="Arial" w:cs="Arial"/>
          <w:b/>
          <w:bCs/>
          <w:sz w:val="24"/>
          <w:szCs w:val="24"/>
        </w:rPr>
        <w:t>ORDERED</w:t>
      </w:r>
      <w:r w:rsidRPr="002D2758">
        <w:rPr>
          <w:rFonts w:ascii="Arial" w:hAnsi="Arial" w:cs="Arial"/>
          <w:sz w:val="24"/>
          <w:szCs w:val="24"/>
        </w:rPr>
        <w:t xml:space="preserve"> as follows:</w:t>
      </w:r>
    </w:p>
    <w:p w14:paraId="7E806400" w14:textId="77777777" w:rsidR="00EE372D" w:rsidRPr="002D2758" w:rsidRDefault="00EE372D" w:rsidP="00EE372D">
      <w:pPr>
        <w:jc w:val="both"/>
        <w:rPr>
          <w:rFonts w:ascii="Arial" w:hAnsi="Arial" w:cs="Arial"/>
          <w:sz w:val="24"/>
          <w:szCs w:val="24"/>
        </w:rPr>
      </w:pPr>
    </w:p>
    <w:p w14:paraId="1E89419F"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ATTENDANCE AT PRETRIAL CONFERENCE</w:t>
      </w:r>
      <w:r w:rsidRPr="002D2758">
        <w:rPr>
          <w:rFonts w:ascii="Arial" w:hAnsi="Arial" w:cs="Arial"/>
          <w:sz w:val="24"/>
          <w:szCs w:val="24"/>
        </w:rPr>
        <w:t xml:space="preserve">. Unless judgment has been entered or the Court advises the parties that the pretrial conference has been continued or canceled, counsel for all parties (or the parties themselves, if unrepresented) must appear at the pretrial conference. </w:t>
      </w:r>
    </w:p>
    <w:p w14:paraId="12A740B7" w14:textId="77777777" w:rsidR="00EE372D" w:rsidRPr="002D2758" w:rsidRDefault="00EE372D" w:rsidP="00EE372D">
      <w:pPr>
        <w:pStyle w:val="ListParagraph"/>
        <w:jc w:val="both"/>
        <w:rPr>
          <w:rFonts w:ascii="Arial" w:hAnsi="Arial" w:cs="Arial"/>
          <w:sz w:val="24"/>
          <w:szCs w:val="24"/>
        </w:rPr>
      </w:pPr>
    </w:p>
    <w:p w14:paraId="356A58B0"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lastRenderedPageBreak/>
        <w:t>PRETRIAL CONFERENCE DATE AND TRIAL DATE</w:t>
      </w:r>
      <w:r w:rsidRPr="002D2758">
        <w:rPr>
          <w:rFonts w:ascii="Arial" w:hAnsi="Arial" w:cs="Arial"/>
          <w:sz w:val="24"/>
          <w:szCs w:val="24"/>
        </w:rPr>
        <w:t>. The pretrial conference will be held at:</w:t>
      </w:r>
    </w:p>
    <w:p w14:paraId="4BD93838" w14:textId="77777777" w:rsidR="00EE372D" w:rsidRPr="002D2758" w:rsidRDefault="00EE372D" w:rsidP="00EE372D">
      <w:pPr>
        <w:pStyle w:val="ListParagraph"/>
        <w:jc w:val="both"/>
        <w:rPr>
          <w:rFonts w:ascii="Arial" w:hAnsi="Arial" w:cs="Arial"/>
          <w:b/>
          <w:bCs/>
          <w:sz w:val="24"/>
          <w:szCs w:val="24"/>
          <w:u w:val="single"/>
        </w:rPr>
      </w:pPr>
    </w:p>
    <w:p w14:paraId="674EA5D7" w14:textId="77777777" w:rsidR="00EE372D" w:rsidRPr="002D2758" w:rsidRDefault="00EE372D" w:rsidP="00EE372D">
      <w:pPr>
        <w:pStyle w:val="ListParagraph"/>
        <w:ind w:left="1440"/>
        <w:jc w:val="both"/>
        <w:rPr>
          <w:rFonts w:ascii="Arial" w:hAnsi="Arial" w:cs="Arial"/>
          <w:b/>
          <w:bCs/>
          <w:sz w:val="24"/>
          <w:szCs w:val="24"/>
          <w:u w:val="single"/>
        </w:rPr>
      </w:pPr>
      <w:r w:rsidRPr="002D2758">
        <w:rPr>
          <w:rFonts w:ascii="Arial" w:hAnsi="Arial" w:cs="Arial"/>
          <w:b/>
          <w:bCs/>
          <w:sz w:val="24"/>
          <w:szCs w:val="24"/>
          <w:u w:val="single"/>
        </w:rPr>
        <w:t>Date:</w:t>
      </w:r>
    </w:p>
    <w:p w14:paraId="4F3D1FB7" w14:textId="77777777" w:rsidR="00EE372D" w:rsidRPr="002D2758" w:rsidRDefault="00EE372D" w:rsidP="00EE372D">
      <w:pPr>
        <w:pStyle w:val="ListParagraph"/>
        <w:ind w:left="1440"/>
        <w:jc w:val="both"/>
        <w:rPr>
          <w:rFonts w:ascii="Arial" w:hAnsi="Arial" w:cs="Arial"/>
          <w:b/>
          <w:bCs/>
          <w:sz w:val="24"/>
          <w:szCs w:val="24"/>
          <w:u w:val="single"/>
        </w:rPr>
      </w:pPr>
    </w:p>
    <w:p w14:paraId="76F69DEC" w14:textId="77777777" w:rsidR="00EE372D" w:rsidRPr="002D2758" w:rsidRDefault="00EE372D" w:rsidP="00EE372D">
      <w:pPr>
        <w:pStyle w:val="ListParagraph"/>
        <w:ind w:left="1440"/>
        <w:jc w:val="both"/>
        <w:rPr>
          <w:rFonts w:ascii="Arial" w:hAnsi="Arial" w:cs="Arial"/>
          <w:b/>
          <w:bCs/>
          <w:sz w:val="24"/>
          <w:szCs w:val="24"/>
          <w:u w:val="single"/>
        </w:rPr>
      </w:pPr>
      <w:r w:rsidRPr="002D2758">
        <w:rPr>
          <w:rFonts w:ascii="Arial" w:hAnsi="Arial" w:cs="Arial"/>
          <w:b/>
          <w:bCs/>
          <w:sz w:val="24"/>
          <w:szCs w:val="24"/>
          <w:u w:val="single"/>
        </w:rPr>
        <w:t>Time:</w:t>
      </w:r>
    </w:p>
    <w:p w14:paraId="6E155CE5" w14:textId="77777777" w:rsidR="00EE372D" w:rsidRPr="002D2758" w:rsidRDefault="00EE372D" w:rsidP="00EE372D">
      <w:pPr>
        <w:pStyle w:val="ListParagraph"/>
        <w:ind w:left="1440"/>
        <w:jc w:val="both"/>
        <w:rPr>
          <w:rFonts w:ascii="Arial" w:hAnsi="Arial" w:cs="Arial"/>
          <w:b/>
          <w:bCs/>
          <w:sz w:val="24"/>
          <w:szCs w:val="24"/>
          <w:u w:val="single"/>
        </w:rPr>
      </w:pPr>
    </w:p>
    <w:p w14:paraId="4499A844" w14:textId="77777777" w:rsidR="00EE372D" w:rsidRPr="002D2758" w:rsidRDefault="00EE372D" w:rsidP="00EE372D">
      <w:pPr>
        <w:pStyle w:val="ListParagraph"/>
        <w:ind w:left="1440"/>
        <w:jc w:val="both"/>
        <w:rPr>
          <w:rFonts w:ascii="Arial" w:hAnsi="Arial" w:cs="Arial"/>
          <w:sz w:val="24"/>
          <w:szCs w:val="24"/>
        </w:rPr>
      </w:pPr>
      <w:r w:rsidRPr="002D2758">
        <w:rPr>
          <w:rFonts w:ascii="Arial" w:hAnsi="Arial" w:cs="Arial"/>
          <w:b/>
          <w:bCs/>
          <w:sz w:val="24"/>
          <w:szCs w:val="24"/>
          <w:u w:val="single"/>
        </w:rPr>
        <w:t>Location:</w:t>
      </w:r>
    </w:p>
    <w:p w14:paraId="55D901E8" w14:textId="77777777" w:rsidR="00EE372D" w:rsidRPr="002D2758" w:rsidRDefault="00EE372D" w:rsidP="00EE372D">
      <w:pPr>
        <w:pStyle w:val="ListParagraph"/>
        <w:jc w:val="both"/>
        <w:rPr>
          <w:rFonts w:ascii="Arial" w:hAnsi="Arial" w:cs="Arial"/>
          <w:sz w:val="24"/>
          <w:szCs w:val="24"/>
        </w:rPr>
      </w:pPr>
    </w:p>
    <w:p w14:paraId="012B0CE2" w14:textId="77777777" w:rsidR="00EE372D" w:rsidRPr="002D2758" w:rsidRDefault="00EE372D" w:rsidP="002D2758">
      <w:pPr>
        <w:pStyle w:val="ListParagraph"/>
        <w:spacing w:after="240"/>
        <w:ind w:left="0"/>
        <w:jc w:val="both"/>
        <w:rPr>
          <w:rFonts w:ascii="Arial" w:hAnsi="Arial" w:cs="Arial"/>
          <w:sz w:val="24"/>
          <w:szCs w:val="24"/>
        </w:rPr>
      </w:pPr>
      <w:r w:rsidRPr="002D2758">
        <w:rPr>
          <w:rFonts w:ascii="Arial" w:hAnsi="Arial" w:cs="Arial"/>
          <w:sz w:val="24"/>
          <w:szCs w:val="24"/>
        </w:rPr>
        <w:t>At the pretrial conference, the Court will set the trial of this adversary proceeding.</w:t>
      </w:r>
    </w:p>
    <w:p w14:paraId="6B99E748"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CONTINUANCES</w:t>
      </w:r>
      <w:r w:rsidRPr="002D2758">
        <w:rPr>
          <w:rFonts w:ascii="Arial" w:hAnsi="Arial" w:cs="Arial"/>
          <w:sz w:val="24"/>
          <w:szCs w:val="24"/>
        </w:rPr>
        <w:t>. Continuances of the pretrial conference or trial or any deadlines set forth in this order must be requested by written motion. Any request for continuance or amendment to this order must set forth the status of discovery, including exchange of disclosures required under this order, must state the reasons why the party or parties seek a continuance, and must state whether the client and other parties consent to a continuance. The stipulation of all parties is not sufficient grounds, standing alone, for a continuance.</w:t>
      </w:r>
    </w:p>
    <w:p w14:paraId="0A4AA34E" w14:textId="77777777" w:rsidR="00EE372D" w:rsidRPr="002D2758" w:rsidRDefault="00EE372D" w:rsidP="00EE372D">
      <w:pPr>
        <w:jc w:val="both"/>
        <w:rPr>
          <w:rFonts w:ascii="Arial" w:hAnsi="Arial" w:cs="Arial"/>
          <w:sz w:val="24"/>
          <w:szCs w:val="24"/>
        </w:rPr>
      </w:pPr>
    </w:p>
    <w:p w14:paraId="6C67A6CC" w14:textId="1FE318F5"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DEADLINE FOR DISPOSITIVE MOTIONS</w:t>
      </w:r>
      <w:r w:rsidRPr="002D2758">
        <w:rPr>
          <w:rFonts w:ascii="Arial" w:hAnsi="Arial" w:cs="Arial"/>
          <w:sz w:val="24"/>
          <w:szCs w:val="24"/>
        </w:rPr>
        <w:t xml:space="preserve">. The deadline for filing motions for judgment on the pleadings or motions for summary judgment is </w:t>
      </w:r>
      <w:r w:rsidR="005527C7">
        <w:rPr>
          <w:rFonts w:ascii="Arial" w:hAnsi="Arial" w:cs="Arial"/>
          <w:b/>
          <w:bCs/>
          <w:sz w:val="24"/>
          <w:szCs w:val="24"/>
          <w:u w:val="single"/>
        </w:rPr>
        <w:t xml:space="preserve">14 </w:t>
      </w:r>
      <w:r w:rsidRPr="002D2758">
        <w:rPr>
          <w:rFonts w:ascii="Arial" w:hAnsi="Arial" w:cs="Arial"/>
          <w:b/>
          <w:bCs/>
          <w:sz w:val="24"/>
          <w:szCs w:val="24"/>
          <w:u w:val="single"/>
        </w:rPr>
        <w:t>days</w:t>
      </w:r>
      <w:r w:rsidR="00ED2DC1" w:rsidRPr="00ED2DC1">
        <w:rPr>
          <w:rFonts w:ascii="Arial" w:hAnsi="Arial" w:cs="Arial"/>
          <w:sz w:val="24"/>
          <w:szCs w:val="24"/>
        </w:rPr>
        <w:t>*</w:t>
      </w:r>
      <w:r w:rsidRPr="002D2758">
        <w:rPr>
          <w:rFonts w:ascii="Arial" w:hAnsi="Arial" w:cs="Arial"/>
          <w:sz w:val="24"/>
          <w:szCs w:val="24"/>
        </w:rPr>
        <w:t xml:space="preserve"> before the pretrial conference. Absent good cause, failure to file and serve such a motion in a timely manner constitutes waiver of the right to do so. All dispositive motions, responses, and replies must comply with the page limits set forth in the Scheduling Order. Any motion for summary judgment must also comply with Local Rule 7056−1, if applicable.</w:t>
      </w:r>
    </w:p>
    <w:p w14:paraId="5F76DA8A" w14:textId="77777777" w:rsidR="00EE372D" w:rsidRPr="002D2758" w:rsidRDefault="00EE372D" w:rsidP="00EE372D">
      <w:pPr>
        <w:rPr>
          <w:rFonts w:ascii="Arial" w:hAnsi="Arial" w:cs="Arial"/>
          <w:sz w:val="24"/>
          <w:szCs w:val="24"/>
        </w:rPr>
      </w:pPr>
    </w:p>
    <w:p w14:paraId="6DAAD8D7"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DISCLOSURES</w:t>
      </w:r>
      <w:r w:rsidRPr="002D2758">
        <w:rPr>
          <w:rFonts w:ascii="Arial" w:hAnsi="Arial" w:cs="Arial"/>
          <w:sz w:val="24"/>
          <w:szCs w:val="24"/>
        </w:rPr>
        <w:t>. The disclosures required by Rules 26(a)(1), 26(a)(2), and 26(a)(3)(A), Fed. R. Civ. P. must be made by the following deadlines:</w:t>
      </w:r>
    </w:p>
    <w:p w14:paraId="4E4DA1D9" w14:textId="77777777" w:rsidR="00EE372D" w:rsidRPr="002D2758" w:rsidRDefault="00EE372D" w:rsidP="00EE372D">
      <w:pPr>
        <w:pStyle w:val="ListParagraph"/>
        <w:jc w:val="both"/>
        <w:rPr>
          <w:rFonts w:ascii="Arial" w:hAnsi="Arial" w:cs="Arial"/>
          <w:sz w:val="24"/>
          <w:szCs w:val="24"/>
        </w:rPr>
      </w:pPr>
    </w:p>
    <w:p w14:paraId="1346D17C" w14:textId="77777777" w:rsidR="00EE372D" w:rsidRPr="002D2758" w:rsidRDefault="00EE372D" w:rsidP="00EE372D">
      <w:pPr>
        <w:pStyle w:val="ListParagraph"/>
        <w:numPr>
          <w:ilvl w:val="1"/>
          <w:numId w:val="1"/>
        </w:numPr>
        <w:adjustRightInd w:val="0"/>
        <w:ind w:left="1080"/>
        <w:contextualSpacing/>
        <w:jc w:val="both"/>
        <w:rPr>
          <w:rFonts w:ascii="Arial" w:hAnsi="Arial" w:cs="Arial"/>
          <w:sz w:val="24"/>
          <w:szCs w:val="24"/>
        </w:rPr>
      </w:pPr>
      <w:r w:rsidRPr="002D2758">
        <w:rPr>
          <w:rFonts w:ascii="Arial" w:hAnsi="Arial" w:cs="Arial"/>
          <w:sz w:val="24"/>
          <w:szCs w:val="24"/>
        </w:rPr>
        <w:t xml:space="preserve">The initial disclosures required by Rule 26(a)(1), Fed. R. Civ. P., must be made not later than </w:t>
      </w:r>
      <w:r w:rsidRPr="002D2758">
        <w:rPr>
          <w:rFonts w:ascii="Arial" w:hAnsi="Arial" w:cs="Arial"/>
          <w:b/>
          <w:bCs/>
          <w:sz w:val="24"/>
          <w:szCs w:val="24"/>
          <w:u w:val="single"/>
        </w:rPr>
        <w:t>14 days</w:t>
      </w:r>
      <w:r w:rsidRPr="00ED2DC1">
        <w:rPr>
          <w:rStyle w:val="FootnoteReference"/>
          <w:rFonts w:ascii="Arial" w:hAnsi="Arial" w:cs="Arial"/>
          <w:b/>
          <w:bCs/>
          <w:sz w:val="24"/>
          <w:szCs w:val="24"/>
        </w:rPr>
        <w:footnoteReference w:customMarkFollows="1" w:id="1"/>
        <w:t>*</w:t>
      </w:r>
      <w:r w:rsidRPr="002D2758">
        <w:rPr>
          <w:rFonts w:ascii="Arial" w:hAnsi="Arial" w:cs="Arial"/>
          <w:sz w:val="24"/>
          <w:szCs w:val="24"/>
        </w:rPr>
        <w:t xml:space="preserve"> after entry of this Order.</w:t>
      </w:r>
    </w:p>
    <w:p w14:paraId="1EDF38BF" w14:textId="77777777" w:rsidR="00EE372D" w:rsidRPr="002D2758" w:rsidRDefault="00EE372D" w:rsidP="00EE372D">
      <w:pPr>
        <w:pStyle w:val="ListParagraph"/>
        <w:adjustRightInd w:val="0"/>
        <w:ind w:left="1080"/>
        <w:contextualSpacing/>
        <w:jc w:val="both"/>
        <w:rPr>
          <w:rFonts w:ascii="Arial" w:hAnsi="Arial" w:cs="Arial"/>
          <w:sz w:val="24"/>
          <w:szCs w:val="24"/>
        </w:rPr>
      </w:pPr>
    </w:p>
    <w:p w14:paraId="7490C1CA" w14:textId="77777777" w:rsidR="00EE372D" w:rsidRPr="002D2758" w:rsidRDefault="00EE372D" w:rsidP="00EE372D">
      <w:pPr>
        <w:pStyle w:val="ListParagraph"/>
        <w:numPr>
          <w:ilvl w:val="1"/>
          <w:numId w:val="1"/>
        </w:numPr>
        <w:adjustRightInd w:val="0"/>
        <w:ind w:left="1080"/>
        <w:contextualSpacing/>
        <w:jc w:val="both"/>
        <w:rPr>
          <w:rFonts w:ascii="Arial" w:hAnsi="Arial" w:cs="Arial"/>
          <w:sz w:val="24"/>
          <w:szCs w:val="24"/>
        </w:rPr>
      </w:pPr>
      <w:r w:rsidRPr="002D2758">
        <w:rPr>
          <w:rFonts w:ascii="Arial" w:hAnsi="Arial" w:cs="Arial"/>
          <w:sz w:val="24"/>
          <w:szCs w:val="24"/>
        </w:rPr>
        <w:t>The disclosures of expert testimony under Rule 26(a)(2), Fed. R. Civ. P., must be made (</w:t>
      </w:r>
      <w:proofErr w:type="spellStart"/>
      <w:r w:rsidRPr="002D2758">
        <w:rPr>
          <w:rFonts w:ascii="Arial" w:hAnsi="Arial" w:cs="Arial"/>
          <w:sz w:val="24"/>
          <w:szCs w:val="24"/>
        </w:rPr>
        <w:t>i</w:t>
      </w:r>
      <w:proofErr w:type="spellEnd"/>
      <w:r w:rsidRPr="002D2758">
        <w:rPr>
          <w:rFonts w:ascii="Arial" w:hAnsi="Arial" w:cs="Arial"/>
          <w:sz w:val="24"/>
          <w:szCs w:val="24"/>
        </w:rPr>
        <w:t xml:space="preserve">) at least </w:t>
      </w:r>
      <w:r w:rsidRPr="002D2758">
        <w:rPr>
          <w:rFonts w:ascii="Arial" w:hAnsi="Arial" w:cs="Arial"/>
          <w:b/>
          <w:bCs/>
          <w:sz w:val="24"/>
          <w:szCs w:val="24"/>
          <w:u w:val="single"/>
        </w:rPr>
        <w:t>60 days</w:t>
      </w:r>
      <w:r w:rsidRPr="002D2758">
        <w:rPr>
          <w:rFonts w:ascii="Arial" w:hAnsi="Arial" w:cs="Arial"/>
          <w:sz w:val="24"/>
          <w:szCs w:val="24"/>
        </w:rPr>
        <w:t xml:space="preserve">* before the pretrial conference or (ii) within </w:t>
      </w:r>
      <w:r w:rsidRPr="002D2758">
        <w:rPr>
          <w:rFonts w:ascii="Arial" w:hAnsi="Arial" w:cs="Arial"/>
          <w:b/>
          <w:bCs/>
          <w:sz w:val="24"/>
          <w:szCs w:val="24"/>
          <w:u w:val="single"/>
        </w:rPr>
        <w:t>14 days</w:t>
      </w:r>
      <w:r w:rsidRPr="002D2758">
        <w:rPr>
          <w:rFonts w:ascii="Arial" w:hAnsi="Arial" w:cs="Arial"/>
          <w:sz w:val="24"/>
          <w:szCs w:val="24"/>
        </w:rPr>
        <w:t xml:space="preserve">* after an opposing party’s disclosure of evidence that gives rise to the need for the expert, whichever is later. The party disclosing an expert witness must, within </w:t>
      </w:r>
      <w:r w:rsidRPr="002D2758">
        <w:rPr>
          <w:rFonts w:ascii="Arial" w:hAnsi="Arial" w:cs="Arial"/>
          <w:b/>
          <w:bCs/>
          <w:sz w:val="24"/>
          <w:szCs w:val="24"/>
          <w:u w:val="single"/>
        </w:rPr>
        <w:t>14 days</w:t>
      </w:r>
      <w:r w:rsidRPr="002D2758">
        <w:rPr>
          <w:rFonts w:ascii="Arial" w:hAnsi="Arial" w:cs="Arial"/>
          <w:sz w:val="24"/>
          <w:szCs w:val="24"/>
        </w:rPr>
        <w:t>* of the disclosure, provide to each opposing party a written report prepared and signed by the witness as required by Rule 26(a)(2)(B), Fed. R. Civ. P.</w:t>
      </w:r>
    </w:p>
    <w:p w14:paraId="70674A61" w14:textId="77777777" w:rsidR="00EE372D" w:rsidRPr="002D2758" w:rsidRDefault="00EE372D" w:rsidP="00EE372D">
      <w:pPr>
        <w:pStyle w:val="ListParagraph"/>
        <w:adjustRightInd w:val="0"/>
        <w:ind w:left="1080"/>
        <w:contextualSpacing/>
        <w:jc w:val="both"/>
        <w:rPr>
          <w:rFonts w:ascii="Arial" w:hAnsi="Arial" w:cs="Arial"/>
          <w:sz w:val="24"/>
          <w:szCs w:val="24"/>
        </w:rPr>
      </w:pPr>
    </w:p>
    <w:p w14:paraId="459D6FF0" w14:textId="77777777" w:rsidR="00EE372D" w:rsidRPr="002D2758" w:rsidRDefault="00EE372D" w:rsidP="00EE372D">
      <w:pPr>
        <w:pStyle w:val="ListParagraph"/>
        <w:numPr>
          <w:ilvl w:val="1"/>
          <w:numId w:val="1"/>
        </w:numPr>
        <w:adjustRightInd w:val="0"/>
        <w:ind w:left="1080"/>
        <w:contextualSpacing/>
        <w:jc w:val="both"/>
        <w:rPr>
          <w:rFonts w:ascii="Arial" w:hAnsi="Arial" w:cs="Arial"/>
          <w:sz w:val="24"/>
          <w:szCs w:val="24"/>
        </w:rPr>
      </w:pPr>
      <w:r w:rsidRPr="002D2758">
        <w:rPr>
          <w:rFonts w:ascii="Arial" w:hAnsi="Arial" w:cs="Arial"/>
          <w:sz w:val="24"/>
          <w:szCs w:val="24"/>
        </w:rPr>
        <w:t xml:space="preserve">The pretrial disclosures under Rule 26(a)(3)(A), Fed. R. Civ. P., must be made no later than one business day before the pretrial conference. </w:t>
      </w:r>
    </w:p>
    <w:p w14:paraId="43DC180A" w14:textId="77777777" w:rsidR="00EE372D" w:rsidRPr="002D2758" w:rsidRDefault="00EE372D" w:rsidP="00EE372D">
      <w:pPr>
        <w:pStyle w:val="ListParagraph"/>
        <w:adjustRightInd w:val="0"/>
        <w:ind w:left="1080"/>
        <w:contextualSpacing/>
        <w:jc w:val="both"/>
        <w:rPr>
          <w:rFonts w:ascii="Arial" w:hAnsi="Arial" w:cs="Arial"/>
          <w:sz w:val="24"/>
          <w:szCs w:val="24"/>
        </w:rPr>
      </w:pPr>
    </w:p>
    <w:p w14:paraId="6D9306E8" w14:textId="77777777" w:rsidR="00EE372D" w:rsidRPr="002D2758" w:rsidRDefault="00EE372D" w:rsidP="00EE372D">
      <w:pPr>
        <w:pStyle w:val="ListParagraph"/>
        <w:numPr>
          <w:ilvl w:val="1"/>
          <w:numId w:val="1"/>
        </w:numPr>
        <w:adjustRightInd w:val="0"/>
        <w:ind w:left="1080"/>
        <w:contextualSpacing/>
        <w:jc w:val="both"/>
        <w:rPr>
          <w:rFonts w:ascii="Arial" w:hAnsi="Arial" w:cs="Arial"/>
          <w:sz w:val="24"/>
          <w:szCs w:val="24"/>
        </w:rPr>
      </w:pPr>
      <w:r w:rsidRPr="002D2758">
        <w:rPr>
          <w:rFonts w:ascii="Arial" w:hAnsi="Arial" w:cs="Arial"/>
          <w:sz w:val="24"/>
          <w:szCs w:val="24"/>
        </w:rPr>
        <w:t>All disclosures under Rules 26(a)(1), 26(a)(2), and 26(a)(3)(A), Fed. R. Civ. P., must be made in writing, signed, served, and, except for copies of exhibits and expert witness reports, be filed with the Court.</w:t>
      </w:r>
    </w:p>
    <w:p w14:paraId="3C7CD2DD" w14:textId="77777777" w:rsidR="00EE372D" w:rsidRPr="002D2758" w:rsidRDefault="00EE372D" w:rsidP="00EE372D">
      <w:pPr>
        <w:jc w:val="both"/>
        <w:rPr>
          <w:rFonts w:ascii="Arial" w:hAnsi="Arial" w:cs="Arial"/>
          <w:sz w:val="24"/>
          <w:szCs w:val="24"/>
        </w:rPr>
      </w:pPr>
    </w:p>
    <w:p w14:paraId="1BB2475F"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SUMMARIES TO PROVE CONTENT</w:t>
      </w:r>
      <w:r w:rsidRPr="002D2758">
        <w:rPr>
          <w:rFonts w:ascii="Arial" w:hAnsi="Arial" w:cs="Arial"/>
          <w:sz w:val="24"/>
          <w:szCs w:val="24"/>
        </w:rPr>
        <w:t xml:space="preserve">. If any party intends to offer in evidence at trial a summary, chart or calculation to prove content as permitted by Federal Rule of Evidence 1006, that party must provide to the other parties a notice of the location(s) of the books, records, and the like, from which each summary has been made, and the reasonable times when they may be inspected and copied by adverse parties, as soon as practicable but in no event later than </w:t>
      </w:r>
      <w:r w:rsidRPr="002D2758">
        <w:rPr>
          <w:rFonts w:ascii="Arial" w:hAnsi="Arial" w:cs="Arial"/>
          <w:b/>
          <w:bCs/>
          <w:sz w:val="24"/>
          <w:szCs w:val="24"/>
          <w:u w:val="single"/>
        </w:rPr>
        <w:t>seven days</w:t>
      </w:r>
      <w:r w:rsidRPr="002D2758">
        <w:rPr>
          <w:rFonts w:ascii="Arial" w:hAnsi="Arial" w:cs="Arial"/>
          <w:sz w:val="24"/>
          <w:szCs w:val="24"/>
        </w:rPr>
        <w:t xml:space="preserve"> before the pretrial conference.</w:t>
      </w:r>
    </w:p>
    <w:p w14:paraId="2168CE3F" w14:textId="77777777" w:rsidR="00EE372D" w:rsidRPr="002D2758" w:rsidRDefault="00EE372D" w:rsidP="00EE372D">
      <w:pPr>
        <w:pStyle w:val="ListParagraph"/>
        <w:jc w:val="both"/>
        <w:rPr>
          <w:rFonts w:ascii="Arial" w:hAnsi="Arial" w:cs="Arial"/>
          <w:sz w:val="24"/>
          <w:szCs w:val="24"/>
        </w:rPr>
      </w:pPr>
    </w:p>
    <w:p w14:paraId="4CBD0C58"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DISCOVERY</w:t>
      </w:r>
      <w:r w:rsidRPr="002D2758">
        <w:rPr>
          <w:rFonts w:ascii="Arial" w:hAnsi="Arial" w:cs="Arial"/>
          <w:sz w:val="24"/>
          <w:szCs w:val="24"/>
        </w:rPr>
        <w:t xml:space="preserve">. The parties must complete discovery not later than </w:t>
      </w:r>
      <w:r w:rsidRPr="002D2758">
        <w:rPr>
          <w:rFonts w:ascii="Arial" w:hAnsi="Arial" w:cs="Arial"/>
          <w:b/>
          <w:bCs/>
          <w:sz w:val="24"/>
          <w:szCs w:val="24"/>
          <w:u w:val="single"/>
        </w:rPr>
        <w:t>14 days</w:t>
      </w:r>
      <w:r w:rsidRPr="002D2758">
        <w:rPr>
          <w:rFonts w:ascii="Arial" w:hAnsi="Arial" w:cs="Arial"/>
          <w:sz w:val="24"/>
          <w:szCs w:val="24"/>
          <w:vertAlign w:val="superscript"/>
        </w:rPr>
        <w:t xml:space="preserve">* </w:t>
      </w:r>
      <w:r w:rsidRPr="002D2758">
        <w:rPr>
          <w:rFonts w:ascii="Arial" w:hAnsi="Arial" w:cs="Arial"/>
          <w:sz w:val="24"/>
          <w:szCs w:val="24"/>
        </w:rPr>
        <w:t xml:space="preserve">before the pretrial conference, except that any previously scheduled depositions may be completed up to one business day before the pretrial conference. The Court will allow discovery after the pretrial conference only upon a showing of good cause. </w:t>
      </w:r>
    </w:p>
    <w:p w14:paraId="0B8F746C" w14:textId="77777777" w:rsidR="00EE372D" w:rsidRPr="002D2758" w:rsidRDefault="00EE372D" w:rsidP="00EE372D">
      <w:pPr>
        <w:pStyle w:val="ListParagraph"/>
        <w:jc w:val="both"/>
        <w:rPr>
          <w:rFonts w:ascii="Arial" w:hAnsi="Arial" w:cs="Arial"/>
          <w:sz w:val="24"/>
          <w:szCs w:val="24"/>
        </w:rPr>
      </w:pPr>
    </w:p>
    <w:p w14:paraId="19720EA8"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JOINT PRETRIAL STIPULATION WHERE ALL PARTIES REPRESENTED BY COUNSEL</w:t>
      </w:r>
      <w:r w:rsidRPr="002D2758">
        <w:rPr>
          <w:rFonts w:ascii="Arial" w:hAnsi="Arial" w:cs="Arial"/>
          <w:sz w:val="24"/>
          <w:szCs w:val="24"/>
        </w:rPr>
        <w:t xml:space="preserve">. If </w:t>
      </w:r>
      <w:r w:rsidRPr="002D2758">
        <w:rPr>
          <w:rFonts w:ascii="Arial" w:hAnsi="Arial" w:cs="Arial"/>
          <w:sz w:val="24"/>
          <w:szCs w:val="24"/>
          <w:u w:val="single"/>
        </w:rPr>
        <w:t>any</w:t>
      </w:r>
      <w:r w:rsidRPr="002D2758">
        <w:rPr>
          <w:rFonts w:ascii="Arial" w:hAnsi="Arial" w:cs="Arial"/>
          <w:sz w:val="24"/>
          <w:szCs w:val="24"/>
        </w:rPr>
        <w:t xml:space="preserve"> party is not represented by counsel in this proceeding as of the date of entry of this Order, this paragraph will not apply. All parties to this proceeding must meet (in person, if geographically feasible, and otherwise by video conference or by telephone) not later than </w:t>
      </w:r>
      <w:r w:rsidRPr="002D2758">
        <w:rPr>
          <w:rFonts w:ascii="Arial" w:hAnsi="Arial" w:cs="Arial"/>
          <w:b/>
          <w:bCs/>
          <w:sz w:val="24"/>
          <w:szCs w:val="24"/>
          <w:u w:val="single"/>
        </w:rPr>
        <w:t>14 days</w:t>
      </w:r>
      <w:r w:rsidRPr="002D2758">
        <w:rPr>
          <w:rFonts w:ascii="Arial" w:hAnsi="Arial" w:cs="Arial"/>
          <w:sz w:val="24"/>
          <w:szCs w:val="24"/>
        </w:rPr>
        <w:t xml:space="preserve"> before the pretrial conference to confer on the preparation of a Joint Pretrial Stipulation in substantially the form of Local Form 63C. The plaintiff must file the fully executed Joint Pretrial Stipulation no later than </w:t>
      </w:r>
      <w:r w:rsidRPr="002D2758">
        <w:rPr>
          <w:rFonts w:ascii="Arial" w:hAnsi="Arial" w:cs="Arial"/>
          <w:b/>
          <w:bCs/>
          <w:sz w:val="24"/>
          <w:szCs w:val="24"/>
          <w:u w:val="single"/>
        </w:rPr>
        <w:t>one business day</w:t>
      </w:r>
      <w:r w:rsidRPr="002D2758">
        <w:rPr>
          <w:rFonts w:ascii="Arial" w:hAnsi="Arial" w:cs="Arial"/>
          <w:sz w:val="24"/>
          <w:szCs w:val="24"/>
        </w:rPr>
        <w:t xml:space="preserve"> before the pretrial conference. The Court will not accept unilateral statements and will strike </w:t>
      </w:r>
      <w:proofErr w:type="spellStart"/>
      <w:r w:rsidRPr="002D2758">
        <w:rPr>
          <w:rFonts w:ascii="Arial" w:hAnsi="Arial" w:cs="Arial"/>
          <w:sz w:val="24"/>
          <w:szCs w:val="24"/>
        </w:rPr>
        <w:t>sua</w:t>
      </w:r>
      <w:proofErr w:type="spellEnd"/>
      <w:r w:rsidRPr="002D2758">
        <w:rPr>
          <w:rFonts w:ascii="Arial" w:hAnsi="Arial" w:cs="Arial"/>
          <w:sz w:val="24"/>
          <w:szCs w:val="24"/>
        </w:rPr>
        <w:t xml:space="preserve"> sponte any such submissions. Should any of the parties fail to cooperate in the preparation of the Joint Pretrial Stipulation, any other party may file a motion requesting an order to show cause why such party or parties (and/or their counsel) should not be held in contempt and sanctioned for failure to comply with this order. </w:t>
      </w:r>
    </w:p>
    <w:p w14:paraId="47A8F815" w14:textId="77777777" w:rsidR="00EE372D" w:rsidRPr="002D2758" w:rsidRDefault="00EE372D" w:rsidP="00EE372D">
      <w:pPr>
        <w:pStyle w:val="ListParagraph"/>
        <w:rPr>
          <w:rFonts w:ascii="Arial" w:hAnsi="Arial" w:cs="Arial"/>
          <w:sz w:val="24"/>
          <w:szCs w:val="24"/>
        </w:rPr>
      </w:pPr>
    </w:p>
    <w:p w14:paraId="3842082F"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SUBMISSION AND EXCHANGE OF EXHIBITS</w:t>
      </w:r>
      <w:r w:rsidRPr="002D2758">
        <w:rPr>
          <w:rFonts w:ascii="Arial" w:hAnsi="Arial" w:cs="Arial"/>
          <w:sz w:val="24"/>
          <w:szCs w:val="24"/>
        </w:rPr>
        <w:t xml:space="preserve">. </w:t>
      </w:r>
    </w:p>
    <w:p w14:paraId="5840C2A6" w14:textId="77777777" w:rsidR="00EE372D" w:rsidRPr="002D2758" w:rsidRDefault="00EE372D" w:rsidP="00EE372D">
      <w:pPr>
        <w:ind w:right="360"/>
        <w:rPr>
          <w:rFonts w:ascii="Arial" w:hAnsi="Arial" w:cs="Arial"/>
          <w:b/>
          <w:sz w:val="24"/>
          <w:szCs w:val="24"/>
        </w:rPr>
      </w:pPr>
    </w:p>
    <w:p w14:paraId="47783066" w14:textId="77777777" w:rsidR="00EE372D" w:rsidRPr="002D2758" w:rsidRDefault="00EE372D" w:rsidP="00EE372D">
      <w:pPr>
        <w:pStyle w:val="ListParagraph"/>
        <w:numPr>
          <w:ilvl w:val="1"/>
          <w:numId w:val="1"/>
        </w:numPr>
        <w:adjustRightInd w:val="0"/>
        <w:ind w:left="1080"/>
        <w:contextualSpacing/>
        <w:jc w:val="both"/>
        <w:rPr>
          <w:rFonts w:ascii="Arial" w:hAnsi="Arial" w:cs="Arial"/>
          <w:sz w:val="24"/>
          <w:szCs w:val="24"/>
        </w:rPr>
      </w:pPr>
      <w:r w:rsidRPr="002D2758">
        <w:rPr>
          <w:rFonts w:ascii="Arial" w:hAnsi="Arial" w:cs="Arial"/>
          <w:b/>
          <w:bCs/>
          <w:sz w:val="24"/>
          <w:szCs w:val="24"/>
        </w:rPr>
        <w:t>SUBMISSION AND EXCHANGE OF EXHIBITS</w:t>
      </w:r>
      <w:r w:rsidRPr="002D2758">
        <w:rPr>
          <w:rFonts w:ascii="Arial" w:hAnsi="Arial" w:cs="Arial"/>
          <w:sz w:val="24"/>
          <w:szCs w:val="24"/>
        </w:rPr>
        <w:t>. All exhibits must be submitted and exchanged pursuant to the requirements of Local Rule 9070-1.</w:t>
      </w:r>
    </w:p>
    <w:p w14:paraId="68E58794" w14:textId="77777777" w:rsidR="00EE372D" w:rsidRPr="002D2758" w:rsidRDefault="00EE372D" w:rsidP="00EE372D">
      <w:pPr>
        <w:pStyle w:val="ListParagraph"/>
        <w:adjustRightInd w:val="0"/>
        <w:ind w:left="1080"/>
        <w:contextualSpacing/>
        <w:jc w:val="both"/>
        <w:rPr>
          <w:rFonts w:ascii="Arial" w:hAnsi="Arial" w:cs="Arial"/>
          <w:sz w:val="24"/>
          <w:szCs w:val="24"/>
        </w:rPr>
      </w:pPr>
    </w:p>
    <w:p w14:paraId="488F2064" w14:textId="77777777" w:rsidR="00EE372D" w:rsidRPr="002D2758" w:rsidRDefault="00EE372D" w:rsidP="00EE372D">
      <w:pPr>
        <w:pStyle w:val="ListParagraph"/>
        <w:numPr>
          <w:ilvl w:val="1"/>
          <w:numId w:val="1"/>
        </w:numPr>
        <w:adjustRightInd w:val="0"/>
        <w:ind w:left="1080"/>
        <w:contextualSpacing/>
        <w:jc w:val="both"/>
        <w:rPr>
          <w:rFonts w:ascii="Arial" w:hAnsi="Arial" w:cs="Arial"/>
          <w:sz w:val="24"/>
          <w:szCs w:val="24"/>
        </w:rPr>
      </w:pPr>
      <w:r w:rsidRPr="002D2758">
        <w:rPr>
          <w:rFonts w:ascii="Arial" w:hAnsi="Arial" w:cs="Arial"/>
          <w:b/>
          <w:bCs/>
          <w:sz w:val="24"/>
          <w:szCs w:val="24"/>
        </w:rPr>
        <w:t>OBJECTIONS TO EXHIBITS</w:t>
      </w:r>
      <w:r w:rsidRPr="002D2758">
        <w:rPr>
          <w:rFonts w:ascii="Arial" w:hAnsi="Arial" w:cs="Arial"/>
          <w:sz w:val="24"/>
          <w:szCs w:val="24"/>
        </w:rPr>
        <w:t xml:space="preserve">. Any objection to the admissibility of any proposed exhibit must be filed and served, </w:t>
      </w:r>
      <w:proofErr w:type="gramStart"/>
      <w:r w:rsidRPr="002D2758">
        <w:rPr>
          <w:rFonts w:ascii="Arial" w:hAnsi="Arial" w:cs="Arial"/>
          <w:sz w:val="24"/>
          <w:szCs w:val="24"/>
        </w:rPr>
        <w:t>so as to</w:t>
      </w:r>
      <w:proofErr w:type="gramEnd"/>
      <w:r w:rsidRPr="002D2758">
        <w:rPr>
          <w:rFonts w:ascii="Arial" w:hAnsi="Arial" w:cs="Arial"/>
          <w:sz w:val="24"/>
          <w:szCs w:val="24"/>
        </w:rPr>
        <w:t xml:space="preserve"> be received </w:t>
      </w:r>
      <w:r w:rsidRPr="002D2758">
        <w:rPr>
          <w:rFonts w:ascii="Arial" w:hAnsi="Arial" w:cs="Arial"/>
          <w:b/>
          <w:sz w:val="24"/>
          <w:szCs w:val="24"/>
          <w:u w:val="single"/>
        </w:rPr>
        <w:t>no later than 4:00 p.m. two business days</w:t>
      </w:r>
      <w:r w:rsidRPr="002D2758">
        <w:rPr>
          <w:rFonts w:ascii="Arial" w:hAnsi="Arial" w:cs="Arial"/>
          <w:bCs/>
          <w:sz w:val="24"/>
          <w:szCs w:val="24"/>
        </w:rPr>
        <w:t xml:space="preserve"> before trial</w:t>
      </w:r>
      <w:r w:rsidRPr="002D2758">
        <w:rPr>
          <w:rFonts w:ascii="Arial" w:hAnsi="Arial" w:cs="Arial"/>
          <w:sz w:val="24"/>
          <w:szCs w:val="24"/>
        </w:rPr>
        <w:t xml:space="preserve">. </w:t>
      </w:r>
      <w:r w:rsidRPr="002D2758">
        <w:rPr>
          <w:rFonts w:ascii="Arial" w:hAnsi="Arial" w:cs="Arial"/>
          <w:sz w:val="24"/>
          <w:szCs w:val="24"/>
          <w:u w:val="single"/>
        </w:rPr>
        <w:t xml:space="preserve">Objections to any deposition transcripts, including a recording (audio or video) or summary thereof, must follow the procedure specified in this paragraph:     </w:t>
      </w:r>
    </w:p>
    <w:p w14:paraId="35DA7E2F" w14:textId="77777777" w:rsidR="00EE372D" w:rsidRPr="002D2758" w:rsidRDefault="00EE372D" w:rsidP="00EE372D">
      <w:pPr>
        <w:pStyle w:val="ListParagraph"/>
        <w:ind w:left="1440"/>
        <w:jc w:val="both"/>
        <w:rPr>
          <w:rFonts w:ascii="Arial" w:hAnsi="Arial" w:cs="Arial"/>
          <w:sz w:val="24"/>
          <w:szCs w:val="24"/>
        </w:rPr>
      </w:pPr>
    </w:p>
    <w:p w14:paraId="1A27B375" w14:textId="77777777" w:rsidR="00EE372D" w:rsidRPr="002D2758" w:rsidRDefault="00EE372D" w:rsidP="002D2758">
      <w:pPr>
        <w:pStyle w:val="ListParagraph"/>
        <w:numPr>
          <w:ilvl w:val="2"/>
          <w:numId w:val="1"/>
        </w:numPr>
        <w:adjustRightInd w:val="0"/>
        <w:ind w:left="1620" w:hanging="540"/>
        <w:contextualSpacing/>
        <w:jc w:val="both"/>
        <w:rPr>
          <w:rFonts w:ascii="Arial" w:hAnsi="Arial" w:cs="Arial"/>
          <w:sz w:val="24"/>
          <w:szCs w:val="24"/>
        </w:rPr>
      </w:pPr>
      <w:r w:rsidRPr="002D2758">
        <w:rPr>
          <w:rFonts w:ascii="Arial" w:hAnsi="Arial" w:cs="Arial"/>
          <w:sz w:val="24"/>
          <w:szCs w:val="24"/>
        </w:rPr>
        <w:t xml:space="preserve">The objection must: (a) identify the exhibit, (b) state the grounds for the objection, and (c) provide citations to case law and other authority in support of the objection. </w:t>
      </w:r>
    </w:p>
    <w:p w14:paraId="001C55F1" w14:textId="77777777" w:rsidR="00EE372D" w:rsidRPr="002D2758" w:rsidRDefault="00EE372D" w:rsidP="002D2758">
      <w:pPr>
        <w:pStyle w:val="ListParagraph"/>
        <w:numPr>
          <w:ilvl w:val="2"/>
          <w:numId w:val="1"/>
        </w:numPr>
        <w:adjustRightInd w:val="0"/>
        <w:ind w:left="1620" w:hanging="540"/>
        <w:contextualSpacing/>
        <w:jc w:val="both"/>
        <w:rPr>
          <w:rFonts w:ascii="Arial" w:hAnsi="Arial" w:cs="Arial"/>
          <w:sz w:val="24"/>
          <w:szCs w:val="24"/>
        </w:rPr>
      </w:pPr>
      <w:r w:rsidRPr="002D2758">
        <w:rPr>
          <w:rFonts w:ascii="Arial" w:hAnsi="Arial" w:cs="Arial"/>
          <w:sz w:val="24"/>
          <w:szCs w:val="24"/>
        </w:rPr>
        <w:lastRenderedPageBreak/>
        <w:t xml:space="preserve">An objection not so made − except for one under Federal Rule of Evidence 402 or 403 − is waived unless excused by the Court for good cause. </w:t>
      </w:r>
    </w:p>
    <w:p w14:paraId="5A19A822" w14:textId="77777777" w:rsidR="00EE372D" w:rsidRPr="002D2758" w:rsidRDefault="00EE372D" w:rsidP="002D2758">
      <w:pPr>
        <w:pStyle w:val="ListParagraph"/>
        <w:numPr>
          <w:ilvl w:val="2"/>
          <w:numId w:val="1"/>
        </w:numPr>
        <w:adjustRightInd w:val="0"/>
        <w:ind w:left="1620" w:hanging="540"/>
        <w:contextualSpacing/>
        <w:jc w:val="both"/>
        <w:rPr>
          <w:rFonts w:ascii="Arial" w:hAnsi="Arial" w:cs="Arial"/>
          <w:sz w:val="24"/>
          <w:szCs w:val="24"/>
        </w:rPr>
      </w:pPr>
      <w:r w:rsidRPr="002D2758">
        <w:rPr>
          <w:rFonts w:ascii="Arial" w:hAnsi="Arial" w:cs="Arial"/>
          <w:sz w:val="24"/>
          <w:szCs w:val="24"/>
        </w:rPr>
        <w:t xml:space="preserve">All parties must comply with the requirements regarding exhibits set forth in Local Rule 9070-1.   </w:t>
      </w:r>
    </w:p>
    <w:p w14:paraId="2554194A" w14:textId="77777777" w:rsidR="00EE372D" w:rsidRPr="002D2758" w:rsidRDefault="00EE372D" w:rsidP="00EE372D">
      <w:pPr>
        <w:pStyle w:val="ListParagraph"/>
        <w:adjustRightInd w:val="0"/>
        <w:spacing w:after="240"/>
        <w:ind w:left="2347"/>
        <w:contextualSpacing/>
        <w:jc w:val="both"/>
        <w:rPr>
          <w:rFonts w:ascii="Arial" w:hAnsi="Arial" w:cs="Arial"/>
          <w:sz w:val="24"/>
          <w:szCs w:val="24"/>
        </w:rPr>
      </w:pPr>
    </w:p>
    <w:p w14:paraId="265AF431" w14:textId="77777777" w:rsidR="00EE372D" w:rsidRPr="002D2758" w:rsidRDefault="00EE372D" w:rsidP="00EE372D">
      <w:pPr>
        <w:pStyle w:val="ListParagraph"/>
        <w:widowControl/>
        <w:numPr>
          <w:ilvl w:val="0"/>
          <w:numId w:val="1"/>
        </w:numPr>
        <w:autoSpaceDE/>
        <w:autoSpaceDN/>
        <w:spacing w:before="240"/>
        <w:contextualSpacing/>
        <w:jc w:val="both"/>
        <w:rPr>
          <w:rFonts w:ascii="Arial" w:hAnsi="Arial" w:cs="Arial"/>
          <w:sz w:val="24"/>
          <w:szCs w:val="24"/>
        </w:rPr>
      </w:pPr>
      <w:r w:rsidRPr="002D2758">
        <w:rPr>
          <w:rFonts w:ascii="Arial" w:hAnsi="Arial" w:cs="Arial"/>
          <w:b/>
          <w:bCs/>
          <w:sz w:val="24"/>
          <w:szCs w:val="24"/>
          <w:u w:val="single"/>
        </w:rPr>
        <w:t>EXHIBITS TO BE USED DURING TRIAL.</w:t>
      </w:r>
      <w:r w:rsidRPr="002D2758">
        <w:rPr>
          <w:rFonts w:ascii="Arial" w:hAnsi="Arial" w:cs="Arial"/>
          <w:sz w:val="24"/>
          <w:szCs w:val="24"/>
        </w:rPr>
        <w:t xml:space="preserve"> The parties are strongly encouraged to use the Court’s information technology equipment to show exhibits at trial. The parties are further encouraged to contact the courtroom deputy in advance of the trial for access to the equipment to ensure counsel can properly use the equipment at trial. Unless otherwise ordered, each party must bring at least one paper copy of its exhibit register for the Court’s use, and at least two hard-copy books of all its exhibits, for witnesses and the Court.</w:t>
      </w:r>
    </w:p>
    <w:p w14:paraId="0A56BA25" w14:textId="77777777" w:rsidR="00EE372D" w:rsidRPr="002D2758" w:rsidRDefault="00EE372D" w:rsidP="00EE372D">
      <w:pPr>
        <w:rPr>
          <w:rFonts w:ascii="Arial" w:hAnsi="Arial" w:cs="Arial"/>
          <w:sz w:val="24"/>
          <w:szCs w:val="24"/>
        </w:rPr>
      </w:pPr>
    </w:p>
    <w:p w14:paraId="3C2FD5B7"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FINAL ARGUMENT</w:t>
      </w:r>
      <w:r w:rsidRPr="002D2758">
        <w:rPr>
          <w:rFonts w:ascii="Arial" w:hAnsi="Arial" w:cs="Arial"/>
          <w:sz w:val="24"/>
          <w:szCs w:val="24"/>
        </w:rPr>
        <w:t xml:space="preserve">. At the conclusion of the trial, in lieu of final argument, the Court may request that each party file with the Court (a) a written closing statement with supporting legal argument or (b) a proposed memorandum opinion with findings of fact and conclusions of law with a separate proposed final judgment. Each submission must contain individually numbered paragraphs and follow the formatting requirements set forth in Part Two of the Court’s Guidelines for Preparing, Submitting, and Serving Orders. Each proposed finding of fact must be supported by a citation to the record, or it will be disregarded. Each proposed conclusion of law must be supported by a citation to applicable law, or it will be disregarded. Absent prior permission of the Court, submissions may not exceed a total of </w:t>
      </w:r>
      <w:r w:rsidRPr="002D2758">
        <w:rPr>
          <w:rFonts w:ascii="Arial" w:hAnsi="Arial" w:cs="Arial"/>
          <w:b/>
          <w:bCs/>
          <w:sz w:val="24"/>
          <w:szCs w:val="24"/>
        </w:rPr>
        <w:t>twenty pages</w:t>
      </w:r>
      <w:r w:rsidRPr="002D2758">
        <w:rPr>
          <w:rFonts w:ascii="Arial" w:hAnsi="Arial" w:cs="Arial"/>
          <w:sz w:val="24"/>
          <w:szCs w:val="24"/>
        </w:rPr>
        <w:t xml:space="preserve">. If specifically requested, the Court may </w:t>
      </w:r>
      <w:r w:rsidRPr="002D2758">
        <w:rPr>
          <w:rFonts w:ascii="Arial" w:hAnsi="Arial" w:cs="Arial"/>
          <w:i/>
          <w:iCs/>
          <w:sz w:val="24"/>
          <w:szCs w:val="24"/>
        </w:rPr>
        <w:t xml:space="preserve">also </w:t>
      </w:r>
      <w:r w:rsidRPr="002D2758">
        <w:rPr>
          <w:rFonts w:ascii="Arial" w:hAnsi="Arial" w:cs="Arial"/>
          <w:sz w:val="24"/>
          <w:szCs w:val="24"/>
        </w:rPr>
        <w:t xml:space="preserve">direct the parties to submit a copy of the proposed memorandum opinion with findings of fact and conclusions of law, along with a copy of the separate proposed final judgment, in word processing format to an electronic mailbox designated by the Court. The filer must include in the “subject” line of the email the case name and number and the date of the relevant hearing. </w:t>
      </w:r>
    </w:p>
    <w:p w14:paraId="122690C5" w14:textId="77777777" w:rsidR="00EE372D" w:rsidRPr="002D2758" w:rsidRDefault="00EE372D" w:rsidP="00EE372D">
      <w:pPr>
        <w:rPr>
          <w:rFonts w:ascii="Arial" w:hAnsi="Arial" w:cs="Arial"/>
          <w:sz w:val="24"/>
          <w:szCs w:val="24"/>
        </w:rPr>
      </w:pPr>
    </w:p>
    <w:p w14:paraId="6C8C8D63"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FAILURE TO ATTEND PRETRIAL CONFERENCE; SANCTIONS</w:t>
      </w:r>
      <w:r w:rsidRPr="002D2758">
        <w:rPr>
          <w:rFonts w:ascii="Arial" w:hAnsi="Arial" w:cs="Arial"/>
          <w:sz w:val="24"/>
          <w:szCs w:val="24"/>
        </w:rPr>
        <w:t xml:space="preserve">. Failure to comply with any provision of this order or failure to appear at the pretrial conference may result in appropriate sanctions, including the award of attorney’s fees, striking of pleadings, dismissal of the action, or entry of default judgment. </w:t>
      </w:r>
    </w:p>
    <w:p w14:paraId="6718F52A" w14:textId="77777777" w:rsidR="00EE372D" w:rsidRPr="002D2758" w:rsidRDefault="00EE372D" w:rsidP="00EE372D">
      <w:pPr>
        <w:jc w:val="both"/>
        <w:rPr>
          <w:rFonts w:ascii="Arial" w:hAnsi="Arial" w:cs="Arial"/>
          <w:sz w:val="24"/>
          <w:szCs w:val="24"/>
        </w:rPr>
      </w:pPr>
    </w:p>
    <w:p w14:paraId="4382432B" w14:textId="77777777" w:rsidR="00EE372D" w:rsidRPr="002D2758" w:rsidRDefault="00EE372D" w:rsidP="00EE372D">
      <w:pPr>
        <w:pStyle w:val="ListParagraph"/>
        <w:widowControl/>
        <w:numPr>
          <w:ilvl w:val="0"/>
          <w:numId w:val="1"/>
        </w:numPr>
        <w:autoSpaceDE/>
        <w:autoSpaceDN/>
        <w:contextualSpacing/>
        <w:jc w:val="both"/>
        <w:rPr>
          <w:rFonts w:ascii="Arial" w:hAnsi="Arial" w:cs="Arial"/>
          <w:sz w:val="24"/>
          <w:szCs w:val="24"/>
        </w:rPr>
      </w:pPr>
      <w:r w:rsidRPr="002D2758">
        <w:rPr>
          <w:rFonts w:ascii="Arial" w:hAnsi="Arial" w:cs="Arial"/>
          <w:b/>
          <w:bCs/>
          <w:sz w:val="24"/>
          <w:szCs w:val="24"/>
          <w:u w:val="single"/>
        </w:rPr>
        <w:t>SERVICE</w:t>
      </w:r>
      <w:r w:rsidRPr="002D2758">
        <w:rPr>
          <w:rFonts w:ascii="Arial" w:hAnsi="Arial" w:cs="Arial"/>
          <w:sz w:val="24"/>
          <w:szCs w:val="24"/>
        </w:rPr>
        <w:t>. Plaintiff(</w:t>
      </w:r>
      <w:r w:rsidR="002D2758">
        <w:rPr>
          <w:rFonts w:ascii="Arial" w:hAnsi="Arial" w:cs="Arial"/>
          <w:sz w:val="24"/>
          <w:szCs w:val="24"/>
        </w:rPr>
        <w:t>’</w:t>
      </w:r>
      <w:proofErr w:type="gramStart"/>
      <w:r w:rsidRPr="002D2758">
        <w:rPr>
          <w:rFonts w:ascii="Arial" w:hAnsi="Arial" w:cs="Arial"/>
          <w:sz w:val="24"/>
          <w:szCs w:val="24"/>
        </w:rPr>
        <w:t>s)(</w:t>
      </w:r>
      <w:proofErr w:type="gramEnd"/>
      <w:r w:rsidRPr="002D2758">
        <w:rPr>
          <w:rFonts w:ascii="Arial" w:hAnsi="Arial" w:cs="Arial"/>
          <w:sz w:val="24"/>
          <w:szCs w:val="24"/>
        </w:rPr>
        <w:t xml:space="preserve">s’) counsel must serve a copy of this Order on the defendant(s) and file an appropriate certificate of service in accordance with Local Rule 5005-1(G)(2). </w:t>
      </w:r>
    </w:p>
    <w:p w14:paraId="7757AC93" w14:textId="77777777" w:rsidR="00EE372D" w:rsidRPr="002D2758" w:rsidRDefault="00EE372D" w:rsidP="00EE372D">
      <w:pPr>
        <w:jc w:val="both"/>
        <w:rPr>
          <w:rFonts w:ascii="Arial" w:hAnsi="Arial" w:cs="Arial"/>
          <w:sz w:val="24"/>
          <w:szCs w:val="24"/>
        </w:rPr>
      </w:pPr>
    </w:p>
    <w:p w14:paraId="79846914" w14:textId="77777777" w:rsidR="00EE372D" w:rsidRPr="002D2758" w:rsidRDefault="00EE372D" w:rsidP="00EE372D">
      <w:pPr>
        <w:jc w:val="center"/>
        <w:rPr>
          <w:rFonts w:ascii="Arial" w:hAnsi="Arial" w:cs="Arial"/>
          <w:b/>
          <w:bCs/>
          <w:iCs/>
          <w:sz w:val="24"/>
          <w:szCs w:val="24"/>
          <w:lang w:val="en" w:bidi="ar-SA"/>
        </w:rPr>
      </w:pPr>
      <w:r w:rsidRPr="002D2758">
        <w:rPr>
          <w:rFonts w:ascii="Arial" w:hAnsi="Arial" w:cs="Arial"/>
          <w:b/>
          <w:bCs/>
          <w:sz w:val="24"/>
          <w:szCs w:val="24"/>
        </w:rPr>
        <w:t># # #</w:t>
      </w:r>
    </w:p>
    <w:p w14:paraId="67C010D6" w14:textId="77777777" w:rsidR="0069231F" w:rsidRPr="002D2758" w:rsidRDefault="005527C7">
      <w:pPr>
        <w:rPr>
          <w:rFonts w:ascii="Arial" w:hAnsi="Arial" w:cs="Arial"/>
          <w:sz w:val="24"/>
          <w:szCs w:val="24"/>
        </w:rPr>
      </w:pPr>
    </w:p>
    <w:sectPr w:rsidR="0069231F" w:rsidRPr="002D27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35FB" w14:textId="77777777" w:rsidR="00EE372D" w:rsidRDefault="00EE372D" w:rsidP="00EE372D">
      <w:r>
        <w:separator/>
      </w:r>
    </w:p>
  </w:endnote>
  <w:endnote w:type="continuationSeparator" w:id="0">
    <w:p w14:paraId="44FDF98D" w14:textId="77777777" w:rsidR="00EE372D" w:rsidRDefault="00EE372D" w:rsidP="00EE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25586827"/>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5290482" w14:textId="77777777" w:rsidR="00F36DAB" w:rsidRPr="00F36DAB" w:rsidRDefault="00F36DAB">
            <w:pPr>
              <w:pStyle w:val="Footer"/>
              <w:jc w:val="center"/>
              <w:rPr>
                <w:rFonts w:ascii="Arial" w:hAnsi="Arial" w:cs="Arial"/>
                <w:sz w:val="20"/>
                <w:szCs w:val="20"/>
              </w:rPr>
            </w:pPr>
            <w:r w:rsidRPr="00F36DAB">
              <w:rPr>
                <w:rFonts w:ascii="Arial" w:hAnsi="Arial" w:cs="Arial"/>
                <w:sz w:val="20"/>
                <w:szCs w:val="20"/>
              </w:rPr>
              <w:t xml:space="preserve">Page </w:t>
            </w:r>
            <w:r w:rsidRPr="00F36DAB">
              <w:rPr>
                <w:rFonts w:ascii="Arial" w:hAnsi="Arial" w:cs="Arial"/>
                <w:sz w:val="20"/>
                <w:szCs w:val="20"/>
              </w:rPr>
              <w:fldChar w:fldCharType="begin"/>
            </w:r>
            <w:r w:rsidRPr="00F36DAB">
              <w:rPr>
                <w:rFonts w:ascii="Arial" w:hAnsi="Arial" w:cs="Arial"/>
                <w:sz w:val="20"/>
                <w:szCs w:val="20"/>
              </w:rPr>
              <w:instrText xml:space="preserve"> PAGE </w:instrText>
            </w:r>
            <w:r w:rsidRPr="00F36DAB">
              <w:rPr>
                <w:rFonts w:ascii="Arial" w:hAnsi="Arial" w:cs="Arial"/>
                <w:sz w:val="20"/>
                <w:szCs w:val="20"/>
              </w:rPr>
              <w:fldChar w:fldCharType="separate"/>
            </w:r>
            <w:r w:rsidRPr="00F36DAB">
              <w:rPr>
                <w:rFonts w:ascii="Arial" w:hAnsi="Arial" w:cs="Arial"/>
                <w:noProof/>
                <w:sz w:val="20"/>
                <w:szCs w:val="20"/>
              </w:rPr>
              <w:t>2</w:t>
            </w:r>
            <w:r w:rsidRPr="00F36DAB">
              <w:rPr>
                <w:rFonts w:ascii="Arial" w:hAnsi="Arial" w:cs="Arial"/>
                <w:sz w:val="20"/>
                <w:szCs w:val="20"/>
              </w:rPr>
              <w:fldChar w:fldCharType="end"/>
            </w:r>
            <w:r w:rsidRPr="00F36DAB">
              <w:rPr>
                <w:rFonts w:ascii="Arial" w:hAnsi="Arial" w:cs="Arial"/>
                <w:sz w:val="20"/>
                <w:szCs w:val="20"/>
              </w:rPr>
              <w:t xml:space="preserve"> of </w:t>
            </w:r>
            <w:r w:rsidRPr="00F36DAB">
              <w:rPr>
                <w:rFonts w:ascii="Arial" w:hAnsi="Arial" w:cs="Arial"/>
                <w:sz w:val="20"/>
                <w:szCs w:val="20"/>
              </w:rPr>
              <w:fldChar w:fldCharType="begin"/>
            </w:r>
            <w:r w:rsidRPr="00F36DAB">
              <w:rPr>
                <w:rFonts w:ascii="Arial" w:hAnsi="Arial" w:cs="Arial"/>
                <w:sz w:val="20"/>
                <w:szCs w:val="20"/>
              </w:rPr>
              <w:instrText xml:space="preserve"> NUMPAGES  </w:instrText>
            </w:r>
            <w:r w:rsidRPr="00F36DAB">
              <w:rPr>
                <w:rFonts w:ascii="Arial" w:hAnsi="Arial" w:cs="Arial"/>
                <w:sz w:val="20"/>
                <w:szCs w:val="20"/>
              </w:rPr>
              <w:fldChar w:fldCharType="separate"/>
            </w:r>
            <w:r w:rsidRPr="00F36DAB">
              <w:rPr>
                <w:rFonts w:ascii="Arial" w:hAnsi="Arial" w:cs="Arial"/>
                <w:noProof/>
                <w:sz w:val="20"/>
                <w:szCs w:val="20"/>
              </w:rPr>
              <w:t>2</w:t>
            </w:r>
            <w:r w:rsidRPr="00F36DAB">
              <w:rPr>
                <w:rFonts w:ascii="Arial" w:hAnsi="Arial" w:cs="Arial"/>
                <w:sz w:val="20"/>
                <w:szCs w:val="20"/>
              </w:rPr>
              <w:fldChar w:fldCharType="end"/>
            </w:r>
          </w:p>
        </w:sdtContent>
      </w:sdt>
    </w:sdtContent>
  </w:sdt>
  <w:p w14:paraId="419EDCEC" w14:textId="4D591647" w:rsidR="00F36DAB" w:rsidRPr="00F36DAB" w:rsidRDefault="00F36DAB">
    <w:pPr>
      <w:pStyle w:val="Footer"/>
      <w:rPr>
        <w:rFonts w:ascii="Arial" w:hAnsi="Arial" w:cs="Arial"/>
        <w:sz w:val="20"/>
        <w:szCs w:val="20"/>
      </w:rPr>
    </w:pPr>
    <w:r w:rsidRPr="00F36DAB">
      <w:rPr>
        <w:rFonts w:ascii="Arial" w:hAnsi="Arial" w:cs="Arial"/>
        <w:sz w:val="20"/>
        <w:szCs w:val="20"/>
      </w:rPr>
      <w:t>LF-68 (</w:t>
    </w:r>
    <w:r w:rsidR="005527C7">
      <w:rPr>
        <w:rFonts w:ascii="Arial" w:hAnsi="Arial" w:cs="Arial"/>
        <w:sz w:val="20"/>
        <w:szCs w:val="20"/>
      </w:rPr>
      <w:t>01/19/22</w:t>
    </w:r>
    <w:r w:rsidRPr="00F36DAB">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C339" w14:textId="77777777" w:rsidR="00EE372D" w:rsidRDefault="00EE372D" w:rsidP="00EE372D">
      <w:r>
        <w:separator/>
      </w:r>
    </w:p>
  </w:footnote>
  <w:footnote w:type="continuationSeparator" w:id="0">
    <w:p w14:paraId="368006B6" w14:textId="77777777" w:rsidR="00EE372D" w:rsidRDefault="00EE372D" w:rsidP="00EE372D">
      <w:r>
        <w:continuationSeparator/>
      </w:r>
    </w:p>
  </w:footnote>
  <w:footnote w:id="1">
    <w:p w14:paraId="1A5E76AB" w14:textId="77777777" w:rsidR="00EE372D" w:rsidRPr="004E65A2" w:rsidRDefault="00EE372D" w:rsidP="00EE372D">
      <w:pPr>
        <w:jc w:val="both"/>
        <w:rPr>
          <w:sz w:val="20"/>
          <w:szCs w:val="20"/>
        </w:rPr>
      </w:pPr>
      <w:r w:rsidRPr="0020372A">
        <w:rPr>
          <w:rStyle w:val="FootnoteReference"/>
          <w:rFonts w:ascii="Symbol" w:eastAsia="Symbol" w:hAnsi="Symbol" w:cs="Symbol"/>
        </w:rPr>
        <w:t>*</w:t>
      </w:r>
      <w:r>
        <w:t xml:space="preserve"> </w:t>
      </w:r>
      <w:r w:rsidRPr="004E65A2">
        <w:rPr>
          <w:sz w:val="20"/>
          <w:szCs w:val="20"/>
        </w:rPr>
        <w:t>This deadline is the default and minimum deadline required by the Court, however the parties are free to agree to and propose any other reasonable deadline, subject to Court approval at the Status Conference.</w:t>
      </w:r>
    </w:p>
    <w:p w14:paraId="34FB3D5D" w14:textId="77777777" w:rsidR="00EE372D" w:rsidRDefault="00EE372D" w:rsidP="00EE37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178B"/>
    <w:multiLevelType w:val="hybridMultilevel"/>
    <w:tmpl w:val="D01E8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8EC66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2D"/>
    <w:rsid w:val="002D2758"/>
    <w:rsid w:val="005527C7"/>
    <w:rsid w:val="009336A5"/>
    <w:rsid w:val="00A47F14"/>
    <w:rsid w:val="00B93D6E"/>
    <w:rsid w:val="00D566DD"/>
    <w:rsid w:val="00ED2DC1"/>
    <w:rsid w:val="00EE372D"/>
    <w:rsid w:val="00F1364D"/>
    <w:rsid w:val="00F3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EB6D"/>
  <w15:chartTrackingRefBased/>
  <w15:docId w15:val="{7A253BD6-1BDF-48B6-97F7-D5324595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2D"/>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2D"/>
    <w:pPr>
      <w:ind w:left="222"/>
    </w:pPr>
  </w:style>
  <w:style w:type="paragraph" w:styleId="FootnoteText">
    <w:name w:val="footnote text"/>
    <w:basedOn w:val="Normal"/>
    <w:link w:val="FootnoteTextChar"/>
    <w:uiPriority w:val="99"/>
    <w:semiHidden/>
    <w:unhideWhenUsed/>
    <w:rsid w:val="00EE372D"/>
    <w:pPr>
      <w:widowControl/>
      <w:autoSpaceDE/>
      <w:autoSpaceDN/>
    </w:pPr>
    <w:rPr>
      <w:sz w:val="20"/>
      <w:szCs w:val="20"/>
      <w:lang w:bidi="ar-SA"/>
    </w:rPr>
  </w:style>
  <w:style w:type="character" w:customStyle="1" w:styleId="FootnoteTextChar">
    <w:name w:val="Footnote Text Char"/>
    <w:basedOn w:val="DefaultParagraphFont"/>
    <w:link w:val="FootnoteText"/>
    <w:uiPriority w:val="99"/>
    <w:semiHidden/>
    <w:rsid w:val="00EE37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372D"/>
    <w:rPr>
      <w:vertAlign w:val="superscript"/>
    </w:rPr>
  </w:style>
  <w:style w:type="table" w:styleId="TableGrid">
    <w:name w:val="Table Grid"/>
    <w:basedOn w:val="TableNormal"/>
    <w:uiPriority w:val="39"/>
    <w:rsid w:val="00EE372D"/>
    <w:pPr>
      <w:spacing w:after="0" w:line="240" w:lineRule="auto"/>
    </w:pPr>
    <w:rPr>
      <w:rFonts w:ascii="Century Schoolbook" w:hAnsi="Century Schoolbook"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E372D"/>
    <w:pPr>
      <w:widowControl/>
      <w:autoSpaceDE/>
      <w:autoSpaceDN/>
    </w:pPr>
    <w:rPr>
      <w:rFonts w:ascii="Century Schoolbook" w:eastAsiaTheme="minorHAnsi" w:hAnsi="Century Schoolbook" w:cs="Times New Roman (Body CS)"/>
      <w:sz w:val="20"/>
      <w:szCs w:val="20"/>
      <w:lang w:bidi="ar-SA"/>
    </w:rPr>
  </w:style>
  <w:style w:type="character" w:customStyle="1" w:styleId="EndnoteTextChar">
    <w:name w:val="Endnote Text Char"/>
    <w:basedOn w:val="DefaultParagraphFont"/>
    <w:link w:val="EndnoteText"/>
    <w:uiPriority w:val="99"/>
    <w:semiHidden/>
    <w:rsid w:val="00EE372D"/>
    <w:rPr>
      <w:rFonts w:ascii="Century Schoolbook" w:hAnsi="Century Schoolbook" w:cs="Times New Roman (Body CS)"/>
      <w:sz w:val="20"/>
      <w:szCs w:val="20"/>
    </w:rPr>
  </w:style>
  <w:style w:type="character" w:styleId="EndnoteReference">
    <w:name w:val="endnote reference"/>
    <w:basedOn w:val="DefaultParagraphFont"/>
    <w:uiPriority w:val="99"/>
    <w:semiHidden/>
    <w:unhideWhenUsed/>
    <w:rsid w:val="00EE372D"/>
    <w:rPr>
      <w:vertAlign w:val="superscript"/>
    </w:rPr>
  </w:style>
  <w:style w:type="character" w:styleId="Hyperlink">
    <w:name w:val="Hyperlink"/>
    <w:basedOn w:val="DefaultParagraphFont"/>
    <w:uiPriority w:val="99"/>
    <w:unhideWhenUsed/>
    <w:rsid w:val="002D2758"/>
    <w:rPr>
      <w:color w:val="0563C1" w:themeColor="hyperlink"/>
      <w:u w:val="single"/>
    </w:rPr>
  </w:style>
  <w:style w:type="character" w:styleId="UnresolvedMention">
    <w:name w:val="Unresolved Mention"/>
    <w:basedOn w:val="DefaultParagraphFont"/>
    <w:uiPriority w:val="99"/>
    <w:semiHidden/>
    <w:unhideWhenUsed/>
    <w:rsid w:val="002D2758"/>
    <w:rPr>
      <w:color w:val="605E5C"/>
      <w:shd w:val="clear" w:color="auto" w:fill="E1DFDD"/>
    </w:rPr>
  </w:style>
  <w:style w:type="paragraph" w:styleId="Header">
    <w:name w:val="header"/>
    <w:basedOn w:val="Normal"/>
    <w:link w:val="HeaderChar"/>
    <w:uiPriority w:val="99"/>
    <w:unhideWhenUsed/>
    <w:rsid w:val="00F36DAB"/>
    <w:pPr>
      <w:tabs>
        <w:tab w:val="center" w:pos="4680"/>
        <w:tab w:val="right" w:pos="9360"/>
      </w:tabs>
    </w:pPr>
  </w:style>
  <w:style w:type="character" w:customStyle="1" w:styleId="HeaderChar">
    <w:name w:val="Header Char"/>
    <w:basedOn w:val="DefaultParagraphFont"/>
    <w:link w:val="Header"/>
    <w:uiPriority w:val="99"/>
    <w:rsid w:val="00F36DAB"/>
    <w:rPr>
      <w:rFonts w:ascii="Times New Roman" w:eastAsia="Times New Roman" w:hAnsi="Times New Roman" w:cs="Times New Roman"/>
      <w:lang w:bidi="en-US"/>
    </w:rPr>
  </w:style>
  <w:style w:type="paragraph" w:styleId="Footer">
    <w:name w:val="footer"/>
    <w:basedOn w:val="Normal"/>
    <w:link w:val="FooterChar"/>
    <w:uiPriority w:val="99"/>
    <w:unhideWhenUsed/>
    <w:rsid w:val="00F36DAB"/>
    <w:pPr>
      <w:tabs>
        <w:tab w:val="center" w:pos="4680"/>
        <w:tab w:val="right" w:pos="9360"/>
      </w:tabs>
    </w:pPr>
  </w:style>
  <w:style w:type="character" w:customStyle="1" w:styleId="FooterChar">
    <w:name w:val="Footer Char"/>
    <w:basedOn w:val="DefaultParagraphFont"/>
    <w:link w:val="Footer"/>
    <w:uiPriority w:val="99"/>
    <w:rsid w:val="00F36DA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sb.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CB00-00FD-47CA-A8B7-9C131E85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Muniz</dc:creator>
  <cp:keywords/>
  <dc:description/>
  <cp:lastModifiedBy>Dania Muniz</cp:lastModifiedBy>
  <cp:revision>5</cp:revision>
  <dcterms:created xsi:type="dcterms:W3CDTF">2020-10-14T13:25:00Z</dcterms:created>
  <dcterms:modified xsi:type="dcterms:W3CDTF">2022-01-19T18:47:00Z</dcterms:modified>
</cp:coreProperties>
</file>