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3F" w:rsidRDefault="00C22FFC">
      <w:pPr>
        <w:spacing w:after="436"/>
        <w:ind w:left="0" w:firstLine="0"/>
        <w:jc w:val="left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right="6"/>
        <w:jc w:val="center"/>
      </w:pPr>
      <w:r>
        <w:rPr>
          <w:b/>
        </w:rPr>
        <w:lastRenderedPageBreak/>
        <w:t xml:space="preserve">UNITED STATES BANKRUPTCY COURT </w:t>
      </w:r>
    </w:p>
    <w:p w:rsidR="00EE143F" w:rsidRDefault="00C22FFC">
      <w:pPr>
        <w:spacing w:after="0"/>
        <w:ind w:right="9"/>
        <w:jc w:val="center"/>
      </w:pPr>
      <w:r>
        <w:rPr>
          <w:b/>
        </w:rPr>
        <w:t xml:space="preserve">SOUTHERN DISTRICT OF FLORIDA </w:t>
      </w:r>
    </w:p>
    <w:p w:rsidR="00EE143F" w:rsidRDefault="00C22FFC">
      <w:pPr>
        <w:spacing w:after="0"/>
        <w:ind w:right="8"/>
        <w:jc w:val="center"/>
      </w:pPr>
      <w:r>
        <w:rPr>
          <w:b/>
        </w:rPr>
        <w:t xml:space="preserve">WEST PALM BEACH DIVISION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spacing w:after="0"/>
        <w:ind w:left="65" w:firstLine="0"/>
        <w:jc w:val="center"/>
      </w:pPr>
      <w:r>
        <w:rPr>
          <w:b/>
        </w:rPr>
        <w:t xml:space="preserve"> </w:t>
      </w:r>
    </w:p>
    <w:p w:rsidR="00EE143F" w:rsidRDefault="00C22FFC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6594"/>
        </w:tabs>
        <w:spacing w:after="0"/>
        <w:ind w:left="-15" w:firstLine="0"/>
        <w:jc w:val="left"/>
      </w:pPr>
      <w:r>
        <w:rPr>
          <w:b/>
        </w:rPr>
        <w:t xml:space="preserve">In re: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Case No. XX-XXXXX-PGH  </w:t>
      </w:r>
    </w:p>
    <w:p w:rsidR="00EE143F" w:rsidRDefault="00C22FF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761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Chapter XX </w:t>
      </w:r>
    </w:p>
    <w:p w:rsidR="00EE143F" w:rsidRDefault="00C22FFC">
      <w:pPr>
        <w:tabs>
          <w:tab w:val="center" w:pos="1440"/>
          <w:tab w:val="center" w:pos="2160"/>
          <w:tab w:val="center" w:pos="2881"/>
          <w:tab w:val="center" w:pos="3601"/>
          <w:tab w:val="center" w:pos="4321"/>
        </w:tabs>
        <w:spacing w:after="0"/>
        <w:ind w:left="-15" w:firstLine="0"/>
        <w:jc w:val="left"/>
      </w:pPr>
      <w:r>
        <w:rPr>
          <w:b/>
        </w:rPr>
        <w:t xml:space="preserve">Debtor,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EE143F" w:rsidRDefault="00C22FFC">
      <w:pPr>
        <w:tabs>
          <w:tab w:val="center" w:pos="1340"/>
        </w:tabs>
        <w:spacing w:after="0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Debtor(s). </w:t>
      </w:r>
    </w:p>
    <w:p w:rsidR="00EE143F" w:rsidRDefault="00C22FFC">
      <w:pPr>
        <w:ind w:left="-5"/>
      </w:pPr>
      <w:r>
        <w:t xml:space="preserve">___________________________________/ </w:t>
      </w:r>
    </w:p>
    <w:p w:rsidR="00EE143F" w:rsidRDefault="00C22FFC">
      <w:pPr>
        <w:spacing w:after="0"/>
        <w:ind w:left="-5"/>
        <w:jc w:val="left"/>
      </w:pPr>
      <w:r>
        <w:rPr>
          <w:b/>
        </w:rPr>
        <w:t xml:space="preserve">Plaintiff, </w:t>
      </w:r>
    </w:p>
    <w:p w:rsidR="00EE143F" w:rsidRDefault="00C22FFC">
      <w:pPr>
        <w:tabs>
          <w:tab w:val="center" w:pos="1430"/>
        </w:tabs>
        <w:spacing w:after="0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Plaintiff(s), </w:t>
      </w:r>
    </w:p>
    <w:p w:rsidR="00EE143F" w:rsidRDefault="00C22FFC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EE143F" w:rsidRDefault="00C22FFC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850"/>
        </w:tabs>
        <w:spacing w:after="0"/>
        <w:ind w:left="-15" w:firstLine="0"/>
        <w:jc w:val="left"/>
      </w:pPr>
      <w:proofErr w:type="gramStart"/>
      <w:r>
        <w:rPr>
          <w:b/>
        </w:rPr>
        <w:t>v</w:t>
      </w:r>
      <w:proofErr w:type="gramEnd"/>
      <w:r>
        <w:rPr>
          <w:b/>
        </w:rPr>
        <w:t xml:space="preserve">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Adv. Proc. No. XX-XXXX-PGH </w:t>
      </w:r>
    </w:p>
    <w:p w:rsidR="00EE143F" w:rsidRDefault="00C22FFC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EE143F" w:rsidRDefault="00C22FFC">
      <w:pPr>
        <w:spacing w:after="0"/>
        <w:ind w:left="-5"/>
        <w:jc w:val="left"/>
      </w:pPr>
      <w:r>
        <w:rPr>
          <w:b/>
        </w:rPr>
        <w:t xml:space="preserve">Defendant, </w:t>
      </w:r>
    </w:p>
    <w:p w:rsidR="00EE143F" w:rsidRDefault="00C22FFC">
      <w:pPr>
        <w:tabs>
          <w:tab w:val="center" w:pos="1561"/>
        </w:tabs>
        <w:spacing w:after="0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Defendant(s). </w:t>
      </w:r>
    </w:p>
    <w:p w:rsidR="00EE143F" w:rsidRDefault="00C22FFC">
      <w:pPr>
        <w:ind w:left="-5"/>
      </w:pPr>
      <w:r>
        <w:t xml:space="preserve">___________________________________/ </w:t>
      </w:r>
    </w:p>
    <w:p w:rsidR="00EE143F" w:rsidRDefault="00C22FFC">
      <w:pPr>
        <w:spacing w:after="0"/>
        <w:ind w:left="0" w:firstLine="0"/>
        <w:jc w:val="left"/>
      </w:pPr>
      <w:r>
        <w:rPr>
          <w:b/>
        </w:rPr>
        <w:lastRenderedPageBreak/>
        <w:t xml:space="preserve"> </w:t>
      </w:r>
    </w:p>
    <w:p w:rsidR="00EE143F" w:rsidRDefault="00C22FFC">
      <w:pPr>
        <w:spacing w:after="0"/>
        <w:ind w:right="8"/>
        <w:jc w:val="center"/>
      </w:pPr>
      <w:r>
        <w:rPr>
          <w:b/>
          <w:u w:val="single" w:color="000000"/>
        </w:rPr>
        <w:t>ORDER CONTINUING PRETRIAL CONFERENCE AND CERTAIN</w:t>
      </w:r>
      <w:r>
        <w:rPr>
          <w:b/>
        </w:rPr>
        <w:t xml:space="preserve"> </w:t>
      </w:r>
    </w:p>
    <w:p w:rsidR="00EE143F" w:rsidRDefault="00C22FFC">
      <w:pPr>
        <w:spacing w:after="0"/>
        <w:ind w:right="9"/>
        <w:jc w:val="center"/>
      </w:pPr>
      <w:r>
        <w:rPr>
          <w:b/>
          <w:u w:val="single" w:color="000000"/>
        </w:rPr>
        <w:t>DEADLINES</w:t>
      </w:r>
      <w:r>
        <w:rPr>
          <w:b/>
        </w:rPr>
        <w:t xml:space="preserve"> </w:t>
      </w:r>
    </w:p>
    <w:p w:rsidR="00EE143F" w:rsidRDefault="00C22FFC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EE143F" w:rsidRDefault="00C22FFC">
      <w:pPr>
        <w:spacing w:after="269"/>
        <w:ind w:right="-8"/>
        <w:jc w:val="right"/>
      </w:pPr>
      <w:r>
        <w:rPr>
          <w:b/>
        </w:rPr>
        <w:t>THIS MATTER</w:t>
      </w:r>
      <w:r>
        <w:t xml:space="preserve"> came before the Court on [date], upon the Agreed Motion to </w:t>
      </w:r>
    </w:p>
    <w:p w:rsidR="00EE143F" w:rsidRDefault="00C22FFC">
      <w:pPr>
        <w:spacing w:after="264"/>
        <w:ind w:left="-5"/>
      </w:pPr>
      <w:r>
        <w:t xml:space="preserve">Continue Hearing (the “Motion”) (ECF No. XX). The Court, having considered the Motion and being otherwise fully advised in the premises, hereby </w:t>
      </w:r>
      <w:r>
        <w:rPr>
          <w:b/>
        </w:rPr>
        <w:t xml:space="preserve">ORDERS AND </w:t>
      </w:r>
    </w:p>
    <w:p w:rsidR="00EE143F" w:rsidRDefault="00C22FFC">
      <w:pPr>
        <w:spacing w:after="284"/>
        <w:ind w:left="-5"/>
        <w:jc w:val="left"/>
      </w:pPr>
      <w:r>
        <w:rPr>
          <w:b/>
        </w:rPr>
        <w:t xml:space="preserve">ADJUDGES </w:t>
      </w:r>
      <w:r>
        <w:t xml:space="preserve">that: </w:t>
      </w:r>
    </w:p>
    <w:p w:rsidR="00EE143F" w:rsidRDefault="00C22FFC">
      <w:pPr>
        <w:numPr>
          <w:ilvl w:val="0"/>
          <w:numId w:val="1"/>
        </w:numPr>
        <w:spacing w:after="288"/>
        <w:ind w:firstLine="720"/>
      </w:pPr>
      <w:r>
        <w:t xml:space="preserve">The Motion is </w:t>
      </w:r>
      <w:r>
        <w:rPr>
          <w:b/>
        </w:rPr>
        <w:t>GRANTED</w:t>
      </w:r>
      <w:r>
        <w:t xml:space="preserve">. </w:t>
      </w:r>
    </w:p>
    <w:p w:rsidR="00EE143F" w:rsidRDefault="00C22FFC">
      <w:pPr>
        <w:numPr>
          <w:ilvl w:val="0"/>
          <w:numId w:val="1"/>
        </w:numPr>
        <w:spacing w:after="269"/>
        <w:ind w:firstLine="720"/>
      </w:pPr>
      <w:r>
        <w:t xml:space="preserve">The Pretrial Conference in this matter is hereby </w:t>
      </w:r>
      <w:r>
        <w:rPr>
          <w:b/>
        </w:rPr>
        <w:t>CONTINUED</w:t>
      </w:r>
      <w:r>
        <w:t xml:space="preserve"> to </w:t>
      </w:r>
    </w:p>
    <w:p w:rsidR="00EE143F" w:rsidRDefault="00C22FFC">
      <w:pPr>
        <w:spacing w:after="264"/>
        <w:ind w:left="-5"/>
      </w:pPr>
      <w:r>
        <w:t>[</w:t>
      </w:r>
      <w:proofErr w:type="gramStart"/>
      <w:r>
        <w:t>date</w:t>
      </w:r>
      <w:proofErr w:type="gramEnd"/>
      <w:r>
        <w:t xml:space="preserve">] at 9:30 a.m. (the “Continued Pretrial Conference Date”) at the United States </w:t>
      </w:r>
    </w:p>
    <w:p w:rsidR="00EE143F" w:rsidRDefault="00C22FFC">
      <w:pPr>
        <w:spacing w:line="480" w:lineRule="auto"/>
        <w:ind w:left="-5"/>
      </w:pPr>
      <w:r>
        <w:lastRenderedPageBreak/>
        <w:t xml:space="preserve">Bankruptcy Court, 1515 N. Flagler Drive, </w:t>
      </w:r>
      <w:r>
        <w:t xml:space="preserve">Courtroom A, 8th Floor, West Palm Beach, Florida 33401. </w:t>
      </w:r>
    </w:p>
    <w:p w:rsidR="00EE143F" w:rsidRDefault="00C22FFC">
      <w:pPr>
        <w:numPr>
          <w:ilvl w:val="0"/>
          <w:numId w:val="1"/>
        </w:numPr>
        <w:spacing w:line="479" w:lineRule="auto"/>
        <w:ind w:firstLine="720"/>
      </w:pPr>
      <w:r>
        <w:t xml:space="preserve">The deadlines set forth in Paragraphs 2 (disclosures), 3 (discovery), 4 (joint pretrial stipulation), 7 (documents required before trial), and 10 (dispositive motions) of this Court’s </w:t>
      </w:r>
      <w:r>
        <w:rPr>
          <w:i/>
        </w:rPr>
        <w:t>Order Setting F</w:t>
      </w:r>
      <w:r>
        <w:rPr>
          <w:i/>
        </w:rPr>
        <w:t xml:space="preserve">iling and Disclosure Requirements for Pretrial and Trial </w:t>
      </w:r>
      <w:r>
        <w:t>(the “Deadline Order)</w:t>
      </w:r>
      <w:r>
        <w:rPr>
          <w:i/>
        </w:rPr>
        <w:t xml:space="preserve"> </w:t>
      </w:r>
      <w:r>
        <w:t xml:space="preserve">(ECF No. XX) </w:t>
      </w:r>
      <w:proofErr w:type="gramStart"/>
      <w:r>
        <w:t>shall</w:t>
      </w:r>
      <w:proofErr w:type="gramEnd"/>
      <w:r>
        <w:t xml:space="preserve"> be calculated based on the Continued Pretrial Conference Date. </w:t>
      </w:r>
    </w:p>
    <w:p w:rsidR="00EE143F" w:rsidRDefault="00C22FFC">
      <w:pPr>
        <w:numPr>
          <w:ilvl w:val="0"/>
          <w:numId w:val="1"/>
        </w:numPr>
        <w:spacing w:line="479" w:lineRule="auto"/>
        <w:ind w:firstLine="720"/>
      </w:pPr>
      <w:r>
        <w:lastRenderedPageBreak/>
        <w:t>The deadlines set forth in Paragraphs 1(a) (right to jury trial; waiver) and (1</w:t>
      </w:r>
      <w:proofErr w:type="gramStart"/>
      <w:r>
        <w:t>)(</w:t>
      </w:r>
      <w:proofErr w:type="gramEnd"/>
      <w:r>
        <w:t>b) (objection</w:t>
      </w:r>
      <w:r>
        <w:t xml:space="preserve"> to entry of final orders and judgments by the bankruptcy court; consent) of the Deadline Order are not extended by this order. </w:t>
      </w:r>
    </w:p>
    <w:p w:rsidR="00EE143F" w:rsidRDefault="00C22FFC">
      <w:pPr>
        <w:numPr>
          <w:ilvl w:val="0"/>
          <w:numId w:val="1"/>
        </w:numPr>
        <w:spacing w:line="478" w:lineRule="auto"/>
        <w:ind w:firstLine="720"/>
      </w:pPr>
      <w:r>
        <w:t xml:space="preserve">All other provisions of the Deadline Order remain in full force and effect to the extent not inconsistent with this order. </w:t>
      </w:r>
    </w:p>
    <w:p w:rsidR="00EE143F" w:rsidRDefault="00C22FFC">
      <w:pPr>
        <w:spacing w:after="0"/>
        <w:ind w:left="63" w:firstLine="0"/>
        <w:jc w:val="center"/>
      </w:pPr>
      <w:r>
        <w:t xml:space="preserve"> </w:t>
      </w:r>
    </w:p>
    <w:p w:rsidR="00EE143F" w:rsidRDefault="00C22FFC">
      <w:pPr>
        <w:spacing w:after="0"/>
        <w:ind w:left="0" w:right="5" w:firstLine="0"/>
        <w:jc w:val="center"/>
      </w:pPr>
      <w:r>
        <w:t>#</w:t>
      </w:r>
      <w:r>
        <w:t xml:space="preserve">## </w:t>
      </w:r>
    </w:p>
    <w:p w:rsidR="00EE143F" w:rsidRDefault="00C22FFC">
      <w:pPr>
        <w:spacing w:after="0"/>
        <w:ind w:left="0" w:firstLine="0"/>
        <w:jc w:val="left"/>
      </w:pPr>
      <w:r>
        <w:t xml:space="preserve"> </w:t>
      </w:r>
    </w:p>
    <w:p w:rsidR="00EE143F" w:rsidRDefault="00C22FFC">
      <w:pPr>
        <w:ind w:left="-5"/>
      </w:pPr>
      <w:r>
        <w:t xml:space="preserve">Copies furnished to: </w:t>
      </w:r>
    </w:p>
    <w:p w:rsidR="00EE143F" w:rsidRDefault="00C22FFC">
      <w:pPr>
        <w:spacing w:after="0"/>
        <w:ind w:left="0" w:firstLine="0"/>
        <w:jc w:val="left"/>
      </w:pPr>
      <w:r>
        <w:t xml:space="preserve"> </w:t>
      </w:r>
    </w:p>
    <w:p w:rsidR="00EE143F" w:rsidRDefault="00C22FFC">
      <w:pPr>
        <w:ind w:left="-5"/>
      </w:pPr>
      <w:r>
        <w:lastRenderedPageBreak/>
        <w:t xml:space="preserve">, Esq. </w:t>
      </w:r>
    </w:p>
    <w:p w:rsidR="00EE143F" w:rsidRDefault="00C22FFC">
      <w:pPr>
        <w:spacing w:after="0"/>
        <w:ind w:left="0" w:firstLine="0"/>
        <w:jc w:val="left"/>
      </w:pPr>
      <w:r>
        <w:t xml:space="preserve"> </w:t>
      </w:r>
    </w:p>
    <w:p w:rsidR="00EE143F" w:rsidRDefault="00C22FFC">
      <w:pPr>
        <w:spacing w:after="2" w:line="239" w:lineRule="auto"/>
        <w:ind w:left="0" w:firstLine="0"/>
        <w:jc w:val="left"/>
      </w:pPr>
      <w:r>
        <w:rPr>
          <w:i/>
        </w:rPr>
        <w:t xml:space="preserve">, Esq. is directed to serve a copy of this order on all appropriate parties and to file a certificate of service with the Court. </w:t>
      </w:r>
    </w:p>
    <w:p w:rsidR="00EE143F" w:rsidRDefault="00C22FFC">
      <w:pPr>
        <w:spacing w:after="389"/>
        <w:ind w:left="0" w:firstLine="0"/>
        <w:jc w:val="left"/>
      </w:pPr>
      <w:r>
        <w:rPr>
          <w:i/>
        </w:rPr>
        <w:t xml:space="preserve"> </w:t>
      </w:r>
    </w:p>
    <w:p w:rsidR="00EE143F" w:rsidRDefault="00C22FFC">
      <w:pPr>
        <w:spacing w:after="0"/>
        <w:ind w:left="0" w:right="4" w:firstLine="0"/>
        <w:jc w:val="center"/>
      </w:pPr>
      <w:r>
        <w:rPr>
          <w:rFonts w:ascii="Times New Roman" w:eastAsia="Times New Roman" w:hAnsi="Times New Roman" w:cs="Times New Roman"/>
        </w:rPr>
        <w:t xml:space="preserve">2 </w:t>
      </w:r>
    </w:p>
    <w:p w:rsidR="00EE143F" w:rsidRDefault="00C22FFC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EE143F">
      <w:pgSz w:w="12240" w:h="15840"/>
      <w:pgMar w:top="724" w:right="1435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5E5B"/>
    <w:multiLevelType w:val="hybridMultilevel"/>
    <w:tmpl w:val="402C645C"/>
    <w:lvl w:ilvl="0" w:tplc="82B2870A">
      <w:start w:val="1"/>
      <w:numFmt w:val="decimal"/>
      <w:lvlText w:val="%1."/>
      <w:lvlJc w:val="left"/>
      <w:pPr>
        <w:ind w:left="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03C56">
      <w:start w:val="1"/>
      <w:numFmt w:val="lowerLetter"/>
      <w:lvlText w:val="%2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448B2">
      <w:start w:val="1"/>
      <w:numFmt w:val="lowerRoman"/>
      <w:lvlText w:val="%3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E9274">
      <w:start w:val="1"/>
      <w:numFmt w:val="decimal"/>
      <w:lvlText w:val="%4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66BC0">
      <w:start w:val="1"/>
      <w:numFmt w:val="lowerLetter"/>
      <w:lvlText w:val="%5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632A8">
      <w:start w:val="1"/>
      <w:numFmt w:val="lowerRoman"/>
      <w:lvlText w:val="%6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9A5F5E">
      <w:start w:val="1"/>
      <w:numFmt w:val="decimal"/>
      <w:lvlText w:val="%7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63F9C">
      <w:start w:val="1"/>
      <w:numFmt w:val="lowerLetter"/>
      <w:lvlText w:val="%8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0A7C6">
      <w:start w:val="1"/>
      <w:numFmt w:val="lowerRoman"/>
      <w:lvlText w:val="%9"/>
      <w:lvlJc w:val="left"/>
      <w:pPr>
        <w:ind w:left="68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3F"/>
    <w:rsid w:val="00C22FFC"/>
    <w:rsid w:val="00E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4E89D-2768-408B-A684-3AAEE2C6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Dailin Pena</dc:creator>
  <cp:keywords/>
  <cp:lastModifiedBy>Dailin Pena</cp:lastModifiedBy>
  <cp:revision>2</cp:revision>
  <dcterms:created xsi:type="dcterms:W3CDTF">2017-10-06T11:31:00Z</dcterms:created>
  <dcterms:modified xsi:type="dcterms:W3CDTF">2017-10-06T11:31:00Z</dcterms:modified>
</cp:coreProperties>
</file>